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21" w:rsidRPr="00084F21" w:rsidRDefault="00084F21" w:rsidP="00084F2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4F21" w:rsidRPr="00084F21" w:rsidRDefault="00084F21" w:rsidP="00084F2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84F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084F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084F21" w:rsidRPr="00084F21" w:rsidRDefault="00084F21" w:rsidP="00084F2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084F21" w:rsidRPr="00084F21" w:rsidRDefault="00084F21" w:rsidP="00084F2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 УСТЬ-БОЛЬШЕРЕЦКОГО   МУНИЦИПАЛЬНОГО   РАЙОНА</w:t>
      </w:r>
    </w:p>
    <w:p w:rsidR="00084F21" w:rsidRPr="00084F21" w:rsidRDefault="00084F21" w:rsidP="00084F2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   КРАЯ</w:t>
      </w:r>
    </w:p>
    <w:p w:rsidR="00084F21" w:rsidRPr="00084F21" w:rsidRDefault="00084F21" w:rsidP="00084F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084F21" w:rsidRPr="00084F21" w:rsidRDefault="00084F21" w:rsidP="00084F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084F21" w:rsidRPr="00084F21" w:rsidRDefault="00084F21" w:rsidP="00084F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000000"/>
          <w:szCs w:val="24"/>
          <w:lang w:eastAsia="ru-RU"/>
        </w:rPr>
        <w:t>от _20____.__03___. 2013                  № ___114_______</w:t>
      </w:r>
    </w:p>
    <w:p w:rsidR="00084F21" w:rsidRPr="00084F21" w:rsidRDefault="00084F21" w:rsidP="00084F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084F21" w:rsidRPr="00084F21" w:rsidTr="00084F21">
        <w:trPr>
          <w:trHeight w:val="208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08" w:lineRule="atLeast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Об утверждении Перечня квалификационных требований к профессиональным знаниям и навыкам муниципальных служащих Администрации Усть-Большерецкого муниципального района в области информационно-коммуникационных технологий с учетом категорий и групп должностей муниципальной службы</w:t>
            </w:r>
          </w:p>
        </w:tc>
      </w:tr>
    </w:tbl>
    <w:p w:rsidR="00084F21" w:rsidRPr="00084F21" w:rsidRDefault="00084F21" w:rsidP="00084F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4F21" w:rsidRPr="00084F21" w:rsidRDefault="00084F21" w:rsidP="00084F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4F21" w:rsidRPr="00084F21" w:rsidRDefault="00084F21" w:rsidP="00084F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целях обеспечения профессионализма и компетентности муниципальных служащих исполнительных Администрации Усть-Большерецкого муниципального района в области информационно-коммуникационных технологий (далее - ИКТ) в рамках создания электронного правительства, предусматривающего повышение качества и </w:t>
      </w:r>
      <w:proofErr w:type="gramStart"/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t>доступности</w:t>
      </w:r>
      <w:proofErr w:type="gramEnd"/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предоставляемых государственных и муниципальных услуг, упрощения процедуры и сокращения сроков их оказания, повышения открытости информации о деятельности Администрации Усть-Большерецкого муниципального района, а также обеспечения эффективного межведомственного взаимодействия, Администрация Усть-Большерецкого муниципального района</w:t>
      </w:r>
    </w:p>
    <w:p w:rsidR="00084F21" w:rsidRPr="00084F21" w:rsidRDefault="00084F21" w:rsidP="00084F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084F21" w:rsidRPr="00084F21" w:rsidRDefault="00084F21" w:rsidP="00084F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4F21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bookmarkStart w:id="0" w:name="sub_1"/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t>Утвердить Перечень квалификационных требований к профессиональным знаниям и навыкам муниципальных служащих Администрации Усть-Большерецкого муниципального района в области информационно-коммуникационных технологий с учетом категорий и групп должностей муниципальной службы (далее - Перечень) согласно </w:t>
      </w:r>
      <w:bookmarkEnd w:id="0"/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fldChar w:fldCharType="begin"/>
      </w:r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instrText xml:space="preserve"> HYPERLINK "http://pravo.minjust.ru:8080/bigs/portal.html" \l "sub_1000" </w:instrText>
      </w:r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84F2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приложению</w:t>
      </w:r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fldChar w:fldCharType="end"/>
      </w:r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084F21" w:rsidRPr="00084F21" w:rsidRDefault="00084F21" w:rsidP="00084F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4F21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bookmarkStart w:id="1" w:name="sub_2"/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t>Управлению делами внести в соответствии с Перечнем изменения в постановление Администрации Усть-Большерецкого муниципального района </w:t>
      </w:r>
      <w:bookmarkEnd w:id="1"/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fldChar w:fldCharType="begin"/>
      </w:r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instrText xml:space="preserve"> HYPERLINK "http://pravo.minjust.ru:8080/bigs/showDocument.html?id=09A17927-681D-4180-926E-9A9F3EF1F415" \t "_blank" </w:instrText>
      </w:r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84F21">
        <w:rPr>
          <w:rFonts w:eastAsia="Times New Roman" w:cs="Times New Roman"/>
          <w:color w:val="0000FF"/>
          <w:sz w:val="28"/>
          <w:szCs w:val="28"/>
          <w:lang w:eastAsia="ru-RU"/>
        </w:rPr>
        <w:t>от 12.07.2010 № 352</w:t>
      </w:r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fldChar w:fldCharType="end"/>
      </w:r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t> «Об утверждении квалификационных требований к профессиональным знаниям и навыкам, необходимым для исполнения должностных обязанностей муниципальных служащих Администрации Усть-Большерецкого муниципального района»;</w:t>
      </w:r>
    </w:p>
    <w:p w:rsidR="00084F21" w:rsidRPr="00084F21" w:rsidRDefault="00084F21" w:rsidP="00084F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4F21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proofErr w:type="gramStart"/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делами </w:t>
      </w:r>
      <w:proofErr w:type="spellStart"/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t>Утёнышеву</w:t>
      </w:r>
      <w:proofErr w:type="spellEnd"/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Л.Н.</w:t>
      </w:r>
    </w:p>
    <w:p w:rsidR="00084F21" w:rsidRPr="00084F21" w:rsidRDefault="00084F21" w:rsidP="00084F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4F21" w:rsidRPr="00084F21" w:rsidRDefault="00084F21" w:rsidP="00084F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84F21" w:rsidRPr="00084F21" w:rsidRDefault="00084F21" w:rsidP="00084F2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t>Глава Усть-Большерецкого</w:t>
      </w:r>
    </w:p>
    <w:p w:rsidR="00084F21" w:rsidRPr="00084F21" w:rsidRDefault="00084F21" w:rsidP="00084F2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       И.Л. Бондарь</w:t>
      </w:r>
    </w:p>
    <w:p w:rsidR="00084F21" w:rsidRPr="00084F21" w:rsidRDefault="00084F21" w:rsidP="00084F2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84F21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Default="00084F21" w:rsidP="00084F21">
      <w:pPr>
        <w:spacing w:before="108" w:after="108" w:line="240" w:lineRule="auto"/>
        <w:ind w:firstLine="567"/>
        <w:jc w:val="both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084F21" w:rsidRPr="00084F21" w:rsidRDefault="00084F21" w:rsidP="00084F21">
      <w:pPr>
        <w:spacing w:before="108" w:after="108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</w:tblGrid>
      <w:tr w:rsidR="00084F21" w:rsidRPr="00084F21" w:rsidTr="00084F21">
        <w:trPr>
          <w:jc w:val="right"/>
        </w:trPr>
        <w:tc>
          <w:tcPr>
            <w:tcW w:w="5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:rsidR="00084F21" w:rsidRPr="00084F21" w:rsidRDefault="00084F21" w:rsidP="00084F21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 w:val="20"/>
                <w:szCs w:val="20"/>
                <w:lang w:eastAsia="ru-RU"/>
              </w:rPr>
              <w:t>к постановлению Администрации Усть-Большерецкого муниципального района «Об утверждении Перечня квалификационных требований к профессиональным знаниям и навыкам муниципальных служащих Администрации Усть-Большерецкого муниципального района в области информационно-коммуникационных технологий с учетом категорий и групп должностей муниципальной службы» от __20_._03__.2013 № 114</w:t>
            </w:r>
          </w:p>
        </w:tc>
      </w:tr>
    </w:tbl>
    <w:p w:rsidR="00084F21" w:rsidRPr="00084F21" w:rsidRDefault="00084F21" w:rsidP="00084F21">
      <w:pPr>
        <w:spacing w:before="108" w:after="108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084F21" w:rsidRPr="00084F21" w:rsidRDefault="00084F21" w:rsidP="00084F2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26282F"/>
          <w:szCs w:val="24"/>
          <w:lang w:eastAsia="ru-RU"/>
        </w:rPr>
        <w:t>Перечень</w:t>
      </w:r>
      <w:r w:rsidRPr="00084F21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084F21">
        <w:rPr>
          <w:rFonts w:eastAsia="Times New Roman" w:cs="Times New Roman"/>
          <w:b/>
          <w:bCs/>
          <w:color w:val="26282F"/>
          <w:szCs w:val="24"/>
          <w:lang w:eastAsia="ru-RU"/>
        </w:rPr>
        <w:t>квалификационных требований к профессиональным знаниям и навыкам в области информационно-коммуникационных</w:t>
      </w:r>
    </w:p>
    <w:p w:rsidR="00084F21" w:rsidRPr="00084F21" w:rsidRDefault="00084F21" w:rsidP="00084F2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26282F"/>
          <w:szCs w:val="24"/>
          <w:lang w:eastAsia="ru-RU"/>
        </w:rPr>
        <w:t>технологий (далее - ИКТ) с учетом категорий и групп должностей муниципальной службы</w:t>
      </w:r>
    </w:p>
    <w:p w:rsidR="00084F21" w:rsidRPr="00084F21" w:rsidRDefault="00084F21" w:rsidP="00084F2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26282F"/>
          <w:szCs w:val="24"/>
          <w:lang w:eastAsia="ru-RU"/>
        </w:rPr>
        <w:t>в Администрации Усть-Большерецкого муниципального района</w:t>
      </w:r>
    </w:p>
    <w:p w:rsidR="00084F21" w:rsidRPr="00084F21" w:rsidRDefault="00084F21" w:rsidP="00084F2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4353"/>
        <w:gridCol w:w="1837"/>
        <w:gridCol w:w="1701"/>
      </w:tblGrid>
      <w:tr w:rsidR="00084F21" w:rsidRPr="00084F21" w:rsidTr="00084F21"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Наименование уровня требований в области ИКТ</w:t>
            </w:r>
          </w:p>
        </w:tc>
        <w:tc>
          <w:tcPr>
            <w:tcW w:w="4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left="-439" w:firstLine="11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84F21">
              <w:rPr>
                <w:rFonts w:eastAsia="Times New Roman" w:cs="Times New Roman"/>
                <w:szCs w:val="24"/>
                <w:lang w:eastAsia="ru-RU"/>
              </w:rPr>
              <w:t>Перечень квалификационных требований к профессиональным знаниям и навыкам в области ИКТ, которыми должен владеть муниципальный служащий </w:t>
            </w:r>
            <w:hyperlink r:id="rId6" w:anchor="sub_1111" w:history="1">
              <w:r w:rsidRPr="00084F21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>(1)</w:t>
              </w:r>
            </w:hyperlink>
            <w:r w:rsidRPr="00084F21">
              <w:rPr>
                <w:rFonts w:eastAsia="Times New Roman" w:cs="Times New Roman"/>
                <w:szCs w:val="24"/>
                <w:lang w:eastAsia="ru-RU"/>
              </w:rPr>
              <w:t>, замещающий должность муниципальной службы в Усть-Большерецком муниципальном районе, включенную в перечень должностей муниципальной службы Администрации Усть-Большерецкого муниципального района, к которым предъявляются квалификационные требования к профессиональным знаниям и навыкам в области ИКТ в Администрации Усть-Большерецкого муниципального района</w:t>
            </w:r>
            <w:proofErr w:type="gramEnd"/>
          </w:p>
        </w:tc>
        <w:tc>
          <w:tcPr>
            <w:tcW w:w="3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Наименование категорий и групп должностей муниципальной службы Администрации Усть-Большерецкого муниципального района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 xml:space="preserve">категория "руководители" высшей и главной </w:t>
            </w:r>
            <w:bookmarkStart w:id="2" w:name="_GoBack"/>
            <w:bookmarkEnd w:id="2"/>
            <w:r w:rsidRPr="00084F21">
              <w:rPr>
                <w:rFonts w:eastAsia="Times New Roman" w:cs="Times New Roman"/>
                <w:szCs w:val="24"/>
                <w:lang w:eastAsia="ru-RU"/>
              </w:rPr>
              <w:t>групп должностей муниципальной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иные категории и группы должностей муниципальной службы</w:t>
            </w:r>
          </w:p>
        </w:tc>
      </w:tr>
      <w:tr w:rsidR="00084F21" w:rsidRPr="00084F21" w:rsidTr="00084F21"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Базовый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Знания: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аппаратного и программного обеспечения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 xml:space="preserve">возможностей и особенностей </w:t>
            </w:r>
            <w:proofErr w:type="gramStart"/>
            <w:r w:rsidRPr="00084F21">
              <w:rPr>
                <w:rFonts w:eastAsia="Times New Roman" w:cs="Times New Roman"/>
                <w:szCs w:val="24"/>
                <w:lang w:eastAsia="ru-RU"/>
              </w:rPr>
              <w:t>применения</w:t>
            </w:r>
            <w:proofErr w:type="gramEnd"/>
            <w:r w:rsidRPr="00084F21">
              <w:rPr>
                <w:rFonts w:eastAsia="Times New Roman" w:cs="Times New Roman"/>
                <w:szCs w:val="24"/>
                <w:lang w:eastAsia="ru-RU"/>
              </w:rPr>
              <w:t xml:space="preserve"> современных ИКТ в Администрации муниципального района, включая использование возможностей межведомственного документооборота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общих вопросов в области обеспечения информационной безопасности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Навыки: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с внутренними и периферийными устройствами компьютера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с информационно-телекоммуникационными сетями, в том числе сетью "Интернет"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в операционной системе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управления электронной почтой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в текстовом редакторе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с электронными таблицами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подготовки презентаций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использования графических объектов в электронных документах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с базами данных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Расширенный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Знания: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правовых аспектов в области ИКТ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программных документов и приоритетов государственной политики в области ИКТ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правовых аспектов в сфере предоставления муниципальных услуг населению и организациям посредством применения ИКТ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аппаратного и программного обеспечения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 xml:space="preserve">возможностей и особенностей </w:t>
            </w:r>
            <w:proofErr w:type="gramStart"/>
            <w:r w:rsidRPr="00084F21">
              <w:rPr>
                <w:rFonts w:eastAsia="Times New Roman" w:cs="Times New Roman"/>
                <w:szCs w:val="24"/>
                <w:lang w:eastAsia="ru-RU"/>
              </w:rPr>
              <w:t>применения</w:t>
            </w:r>
            <w:proofErr w:type="gramEnd"/>
            <w:r w:rsidRPr="00084F21">
              <w:rPr>
                <w:rFonts w:eastAsia="Times New Roman" w:cs="Times New Roman"/>
                <w:szCs w:val="24"/>
                <w:lang w:eastAsia="ru-RU"/>
              </w:rPr>
              <w:t xml:space="preserve"> современных ИКТ в Администрации муниципального района, включая использование возможностей межведомственного документооборота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общих вопросов в области обеспечения информационной безопасности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основ проектного управления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Навыки: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 xml:space="preserve">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084F21">
              <w:rPr>
                <w:rFonts w:eastAsia="Times New Roman" w:cs="Times New Roman"/>
                <w:szCs w:val="24"/>
                <w:lang w:eastAsia="ru-RU"/>
              </w:rPr>
              <w:t>применения</w:t>
            </w:r>
            <w:proofErr w:type="gramEnd"/>
            <w:r w:rsidRPr="00084F21">
              <w:rPr>
                <w:rFonts w:eastAsia="Times New Roman" w:cs="Times New Roman"/>
                <w:szCs w:val="24"/>
                <w:lang w:eastAsia="ru-RU"/>
              </w:rPr>
              <w:t xml:space="preserve"> современных ИКТ в органах местного самоуправления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с внутренними и периферийными устройствами компьютера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с информационно-телекоммуникационными сетями, в том числе сетью "Интернет"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в операционной системе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управления электронной почтой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в текстовом редакторе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с электронными таблицами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с базами данных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с системами управления проектами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Специал</w:t>
            </w:r>
            <w:r w:rsidRPr="00084F21">
              <w:rPr>
                <w:rFonts w:eastAsia="Times New Roman" w:cs="Times New Roman"/>
                <w:szCs w:val="24"/>
                <w:lang w:eastAsia="ru-RU"/>
              </w:rPr>
              <w:lastRenderedPageBreak/>
              <w:t>ьный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lastRenderedPageBreak/>
              <w:t>Знания </w:t>
            </w:r>
            <w:hyperlink r:id="rId7" w:anchor="sub_2222" w:history="1">
              <w:r w:rsidRPr="00084F21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>(2)</w:t>
              </w:r>
            </w:hyperlink>
            <w:r w:rsidRPr="00084F2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систем взаимодействия с гражданами и организациями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учетных систем, обеспечивающих поддержку выполнения органами местного самоуправления основных задач и функций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систем межведомственного взаимодействия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систем управления государственными информационными ресурсами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информационно-аналитических систем, обеспечивающих сбор, обработку, хранение и анализ данных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систем управления электронными архивами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систем информационной безопасности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систем управления эксплуатацией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Навыки </w:t>
            </w:r>
            <w:hyperlink r:id="rId8" w:anchor="sub_3333" w:history="1">
              <w:r w:rsidRPr="00084F21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>(3)</w:t>
              </w:r>
            </w:hyperlink>
            <w:r w:rsidRPr="00084F2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с системами взаимодействия с гражданами и организациями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с системами межведомственного взаимодействия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с системами управления государственными информационными ресурсами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с информационно-аналитическими системами, обеспечивающими сбор, обработку, хранение и анализ данных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с системами управления электронными архивами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с системами информационной безопасности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084F21" w:rsidRPr="00084F21" w:rsidTr="00084F21"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работы с системами управления эксплуатацией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21" w:rsidRPr="00084F21" w:rsidRDefault="00084F21" w:rsidP="00084F21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F21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</w:tbl>
    <w:p w:rsidR="00084F21" w:rsidRPr="00084F21" w:rsidRDefault="00084F21" w:rsidP="00084F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sub_1111"/>
      <w:proofErr w:type="gramStart"/>
      <w:r w:rsidRPr="00084F21"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  <w:t>Примечание 1:</w:t>
      </w:r>
      <w:r w:rsidRPr="00084F21">
        <w:rPr>
          <w:rFonts w:eastAsia="Times New Roman" w:cs="Times New Roman"/>
          <w:color w:val="000000"/>
          <w:sz w:val="26"/>
          <w:szCs w:val="26"/>
          <w:lang w:eastAsia="ru-RU"/>
        </w:rPr>
        <w:t> перечень профессиональных знаний и навыков в области ИКТ, которыми должен владеть муниципальный служащий Администрации Усть-Большерецкого муниципального района  в соответствии со специальным уровнем требований в области информационно-коммуникационных технологий, может </w:t>
      </w:r>
      <w:r w:rsidRPr="00084F21">
        <w:rPr>
          <w:rFonts w:eastAsia="Times New Roman" w:cs="Times New Roman"/>
          <w:color w:val="000000"/>
          <w:szCs w:val="24"/>
          <w:lang w:eastAsia="ru-RU"/>
        </w:rPr>
        <w:t>корректироваться представителем нанимателя с учетом функциональных обязанностей и специфики работы муниципальных служащих Администрации Усть-Большерецкого муниципального района, должностные обязанности которых предполагают работу со специальным программным обеспечением, используемым в Администрации Усть-Большерецкого муниципального</w:t>
      </w:r>
      <w:proofErr w:type="gramEnd"/>
      <w:r w:rsidRPr="00084F21">
        <w:rPr>
          <w:rFonts w:eastAsia="Times New Roman" w:cs="Times New Roman"/>
          <w:color w:val="000000"/>
          <w:szCs w:val="24"/>
          <w:lang w:eastAsia="ru-RU"/>
        </w:rPr>
        <w:t xml:space="preserve"> района.</w:t>
      </w:r>
      <w:bookmarkEnd w:id="3"/>
    </w:p>
    <w:p w:rsidR="00084F21" w:rsidRPr="00084F21" w:rsidRDefault="00084F21" w:rsidP="00084F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  <w:lastRenderedPageBreak/>
        <w:t>Примечание 2:</w:t>
      </w:r>
      <w:r w:rsidRPr="00084F21">
        <w:rPr>
          <w:rFonts w:eastAsia="Times New Roman" w:cs="Times New Roman"/>
          <w:color w:val="000000"/>
          <w:szCs w:val="24"/>
          <w:lang w:eastAsia="ru-RU"/>
        </w:rPr>
        <w:t> дополнительные к знаниям "базового" и "расширенного" уровней квалификационных требований к профессиональным знаниям и навыкам в области информационно-коммуникационных технологий.</w:t>
      </w:r>
    </w:p>
    <w:p w:rsidR="00084F21" w:rsidRPr="00084F21" w:rsidRDefault="00084F21" w:rsidP="00084F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  <w:t>Примечание 3:</w:t>
      </w:r>
      <w:r w:rsidRPr="00084F21">
        <w:rPr>
          <w:rFonts w:eastAsia="Times New Roman" w:cs="Times New Roman"/>
          <w:color w:val="000000"/>
          <w:szCs w:val="24"/>
          <w:lang w:eastAsia="ru-RU"/>
        </w:rPr>
        <w:t> дополнительные к навыкам "базового" и "расширенного" уровней квалификационных требований к профессиональным знаниям и навыкам в области информационно-коммуникационных технологий.</w:t>
      </w:r>
    </w:p>
    <w:p w:rsidR="00084F21" w:rsidRPr="00084F21" w:rsidRDefault="00084F21" w:rsidP="00084F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84F21" w:rsidRPr="00084F21" w:rsidRDefault="00084F21" w:rsidP="00084F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  <w:t>Пояснение:</w:t>
      </w:r>
    </w:p>
    <w:p w:rsidR="00084F21" w:rsidRPr="00084F21" w:rsidRDefault="00084F21" w:rsidP="00084F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color w:val="000000"/>
          <w:szCs w:val="24"/>
          <w:lang w:eastAsia="ru-RU"/>
        </w:rPr>
        <w:t>Структура квалификационных требований к профессиональным знаниям и навыкам, необходимым для исполнения муниципальными служащими должностных обязанностей, в соответствии с категориями и группами должностей гражданской службы должна включать:</w:t>
      </w:r>
    </w:p>
    <w:p w:rsidR="00084F21" w:rsidRPr="00084F21" w:rsidRDefault="00084F21" w:rsidP="00084F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color w:val="000000"/>
          <w:szCs w:val="24"/>
          <w:lang w:eastAsia="ru-RU"/>
        </w:rPr>
        <w:t>1) перечень основных знаний, необходимых муниципальным служащим, замещающим соответствующие должности муниципальной службы, включая перечень знаний в области ИКТ базового, расширенного, базового и специального или расширенного и специального уровней;</w:t>
      </w:r>
    </w:p>
    <w:p w:rsidR="00084F21" w:rsidRPr="00084F21" w:rsidRDefault="00084F21" w:rsidP="00084F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color w:val="000000"/>
          <w:szCs w:val="24"/>
          <w:lang w:eastAsia="ru-RU"/>
        </w:rPr>
        <w:t>2) перечень основных навыков, необходимых муниципальным служащим, замещающим соответствующие должности муниципальной службы, включая перечень навыков в области ИКТ базового, расширенного, базового и специального или расширенного и специального уровней.</w:t>
      </w:r>
    </w:p>
    <w:p w:rsidR="00084F21" w:rsidRPr="00084F21" w:rsidRDefault="00084F21" w:rsidP="00084F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color w:val="000000"/>
          <w:szCs w:val="24"/>
          <w:lang w:eastAsia="ru-RU"/>
        </w:rPr>
        <w:t>Базовый уровень квалификационных требований в области ИКТ - перечень профессиональных знаний и навыков в сфере использования технических и программных средств, которыми должны обладать муниципальные служащие всех категорий и групп должностей муниципальной службы за исключением муниципальных служащих категории "руководители" высшей и главной групп должностей;</w:t>
      </w:r>
    </w:p>
    <w:p w:rsidR="00084F21" w:rsidRPr="00084F21" w:rsidRDefault="00084F21" w:rsidP="00084F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color w:val="000000"/>
          <w:szCs w:val="24"/>
          <w:lang w:eastAsia="ru-RU"/>
        </w:rPr>
        <w:t>Расширенный уровень квалификационных требований в области ИКТ - перечень профессиональных знаний и навыков в сфере использования технических и программных средств, необходимых для решения управленческих задач, которыми должны обладать муниципальные служащие, замещающие должности категории "руководители" высшей и главной групп должностей.</w:t>
      </w:r>
    </w:p>
    <w:p w:rsidR="00084F21" w:rsidRPr="00084F21" w:rsidRDefault="00084F21" w:rsidP="00084F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color w:val="000000"/>
          <w:szCs w:val="24"/>
          <w:lang w:eastAsia="ru-RU"/>
        </w:rPr>
        <w:t>Специальный уровень квалификационных требований в области ИКТ - перечень дополнительных (к базовому или расширенному уровням) профессиональных знаний и навыков в области ИКТ, которыми должны обладать:</w:t>
      </w:r>
    </w:p>
    <w:p w:rsidR="00084F21" w:rsidRPr="00084F21" w:rsidRDefault="00084F21" w:rsidP="00084F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color w:val="000000"/>
          <w:szCs w:val="24"/>
          <w:lang w:eastAsia="ru-RU"/>
        </w:rPr>
        <w:t>должностные лица (руководитель или заместитель руководителя), курирующие вопросы внедрения ИКТ в деятельность соответствующих структурных подразделений;</w:t>
      </w:r>
    </w:p>
    <w:p w:rsidR="00084F21" w:rsidRPr="00084F21" w:rsidRDefault="00084F21" w:rsidP="00084F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color w:val="000000"/>
          <w:szCs w:val="24"/>
          <w:lang w:eastAsia="ru-RU"/>
        </w:rPr>
        <w:t>сотрудники подразделений, к ведению которых относятся вопросы информатизации;</w:t>
      </w:r>
    </w:p>
    <w:p w:rsidR="00084F21" w:rsidRPr="00084F21" w:rsidRDefault="00084F21" w:rsidP="00084F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color w:val="000000"/>
          <w:szCs w:val="24"/>
          <w:lang w:eastAsia="ru-RU"/>
        </w:rPr>
        <w:t>муниципальные служащие, в чьи должностные обязанности входят функции по созданию, развитию и администрированию информационных систем в соответствующем структурном подразделении;</w:t>
      </w:r>
    </w:p>
    <w:p w:rsidR="00084F21" w:rsidRPr="00084F21" w:rsidRDefault="00084F21" w:rsidP="00084F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color w:val="000000"/>
          <w:szCs w:val="24"/>
          <w:lang w:eastAsia="ru-RU"/>
        </w:rPr>
        <w:t>сотрудники подразделений, являющиеся пользователями программных продуктов, которые обеспечивают автоматизацию функций, возложенных на соответствующие структурные подразделения.</w:t>
      </w:r>
    </w:p>
    <w:p w:rsidR="00084F21" w:rsidRPr="00084F21" w:rsidRDefault="00084F21" w:rsidP="00084F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4F2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67D8C" w:rsidRDefault="00C67D8C"/>
    <w:sectPr w:rsidR="00C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028"/>
    <w:multiLevelType w:val="multilevel"/>
    <w:tmpl w:val="C426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29"/>
    <w:rsid w:val="00084F21"/>
    <w:rsid w:val="00360929"/>
    <w:rsid w:val="00C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portal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2019-10-08T00:01:00Z</dcterms:created>
  <dcterms:modified xsi:type="dcterms:W3CDTF">2019-10-08T00:02:00Z</dcterms:modified>
</cp:coreProperties>
</file>