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3E" w:rsidRPr="00A7123E" w:rsidRDefault="00A7123E" w:rsidP="00A7123E">
      <w:pPr>
        <w:widowControl w:val="0"/>
        <w:spacing w:line="276" w:lineRule="auto"/>
        <w:ind w:left="6237"/>
        <w:jc w:val="both"/>
        <w:rPr>
          <w:bCs/>
          <w:sz w:val="20"/>
          <w:szCs w:val="20"/>
        </w:rPr>
      </w:pPr>
      <w:r w:rsidRPr="00A7123E">
        <w:rPr>
          <w:bCs/>
          <w:sz w:val="20"/>
          <w:szCs w:val="20"/>
        </w:rPr>
        <w:t>Приложение</w:t>
      </w:r>
    </w:p>
    <w:p w:rsidR="00A7123E" w:rsidRPr="00A7123E" w:rsidRDefault="00A7123E" w:rsidP="00A7123E">
      <w:pPr>
        <w:widowControl w:val="0"/>
        <w:spacing w:line="276" w:lineRule="auto"/>
        <w:ind w:left="6237"/>
        <w:jc w:val="both"/>
        <w:rPr>
          <w:bCs/>
          <w:sz w:val="20"/>
          <w:szCs w:val="20"/>
        </w:rPr>
      </w:pPr>
      <w:proofErr w:type="gramStart"/>
      <w:r w:rsidRPr="00A7123E">
        <w:rPr>
          <w:bCs/>
          <w:sz w:val="20"/>
          <w:szCs w:val="20"/>
        </w:rPr>
        <w:t>к</w:t>
      </w:r>
      <w:proofErr w:type="gramEnd"/>
      <w:r w:rsidRPr="00A7123E">
        <w:rPr>
          <w:bCs/>
          <w:sz w:val="20"/>
          <w:szCs w:val="20"/>
        </w:rPr>
        <w:t xml:space="preserve"> Прогнозу социально-экономического развития Усть-Большерецкого муниципального района на 2022 год и плановый период 2023 и 2024 годов</w:t>
      </w:r>
    </w:p>
    <w:p w:rsidR="00A7123E" w:rsidRPr="00A7123E" w:rsidRDefault="00A7123E" w:rsidP="00A7123E">
      <w:pPr>
        <w:widowControl w:val="0"/>
        <w:spacing w:line="276" w:lineRule="auto"/>
        <w:jc w:val="center"/>
        <w:rPr>
          <w:b/>
          <w:bCs/>
          <w:i/>
          <w:sz w:val="26"/>
          <w:szCs w:val="26"/>
        </w:rPr>
      </w:pPr>
    </w:p>
    <w:p w:rsidR="00A7123E" w:rsidRPr="00A7123E" w:rsidRDefault="00A7123E" w:rsidP="00A7123E">
      <w:pPr>
        <w:widowControl w:val="0"/>
        <w:spacing w:line="276" w:lineRule="auto"/>
        <w:jc w:val="center"/>
        <w:rPr>
          <w:b/>
          <w:bCs/>
          <w:i/>
          <w:sz w:val="26"/>
          <w:szCs w:val="26"/>
        </w:rPr>
      </w:pPr>
    </w:p>
    <w:p w:rsidR="00A7123E" w:rsidRPr="00A7123E" w:rsidRDefault="00A7123E" w:rsidP="00A7123E">
      <w:pPr>
        <w:widowControl w:val="0"/>
        <w:spacing w:line="276" w:lineRule="auto"/>
        <w:jc w:val="center"/>
        <w:rPr>
          <w:b/>
          <w:bCs/>
          <w:i/>
          <w:sz w:val="26"/>
          <w:szCs w:val="26"/>
        </w:rPr>
      </w:pPr>
      <w:r w:rsidRPr="00A7123E">
        <w:rPr>
          <w:b/>
          <w:bCs/>
          <w:i/>
          <w:sz w:val="26"/>
          <w:szCs w:val="26"/>
        </w:rPr>
        <w:t>Пояснительная записка к прогнозу социально-экономического развития</w:t>
      </w:r>
    </w:p>
    <w:p w:rsidR="00A7123E" w:rsidRPr="00A7123E" w:rsidRDefault="00A7123E" w:rsidP="00A7123E">
      <w:pPr>
        <w:widowControl w:val="0"/>
        <w:spacing w:line="276" w:lineRule="auto"/>
        <w:jc w:val="center"/>
        <w:rPr>
          <w:b/>
          <w:bCs/>
          <w:i/>
          <w:sz w:val="26"/>
          <w:szCs w:val="26"/>
        </w:rPr>
      </w:pPr>
      <w:r w:rsidRPr="00A7123E">
        <w:rPr>
          <w:b/>
          <w:bCs/>
          <w:i/>
          <w:sz w:val="26"/>
          <w:szCs w:val="26"/>
        </w:rPr>
        <w:t>Усть-Большерецкого муниципального района на 2022 год и плановый период 2023 и 2024 годов</w:t>
      </w:r>
    </w:p>
    <w:p w:rsidR="00A7123E" w:rsidRPr="00A7123E" w:rsidRDefault="00A7123E" w:rsidP="00A7123E">
      <w:pPr>
        <w:widowControl w:val="0"/>
        <w:spacing w:line="276" w:lineRule="auto"/>
        <w:jc w:val="center"/>
        <w:rPr>
          <w:b/>
          <w:bCs/>
          <w:sz w:val="26"/>
          <w:szCs w:val="26"/>
        </w:rPr>
      </w:pPr>
    </w:p>
    <w:p w:rsidR="00A7123E" w:rsidRPr="00A7123E" w:rsidRDefault="00A7123E" w:rsidP="00A7123E">
      <w:pPr>
        <w:widowControl w:val="0"/>
        <w:spacing w:line="276" w:lineRule="auto"/>
        <w:ind w:firstLine="709"/>
        <w:jc w:val="both"/>
      </w:pPr>
      <w:r w:rsidRPr="00A7123E">
        <w:t xml:space="preserve">Прогноз основных показателей социально–экономического развития </w:t>
      </w:r>
      <w:r w:rsidRPr="00A7123E">
        <w:rPr>
          <w:bCs/>
        </w:rPr>
        <w:t>Усть-Большерецкого района на</w:t>
      </w:r>
      <w:r w:rsidRPr="00A7123E">
        <w:t xml:space="preserve"> 2022 год и плановый период 2023 и 2024 годов (далее - Прогноз) разработан в соответствии с положением «О бюджетном процессе в Усть-Большерецком муниципальном районе», постановлением Администрации Усть-Большерецкого муниципального района Камчатского края от 13.07.2016 № 300 «Об утверждении Порядка разработки и корректировки, осуществления мониторинга и контроля реализации прогнозов социально-экономического развития Усть-Большерецкого муниципального района на среднесрочный и долгосрочный период».</w:t>
      </w:r>
    </w:p>
    <w:p w:rsidR="00A7123E" w:rsidRPr="00A7123E" w:rsidRDefault="00A7123E" w:rsidP="00A7123E">
      <w:pPr>
        <w:pStyle w:val="ab"/>
        <w:spacing w:line="276" w:lineRule="auto"/>
        <w:ind w:firstLine="708"/>
        <w:jc w:val="both"/>
        <w:rPr>
          <w:b w:val="0"/>
          <w:sz w:val="24"/>
          <w:szCs w:val="24"/>
        </w:rPr>
      </w:pPr>
      <w:r w:rsidRPr="00A7123E">
        <w:rPr>
          <w:b w:val="0"/>
          <w:sz w:val="24"/>
          <w:szCs w:val="24"/>
        </w:rPr>
        <w:t>Прогноз основывается на итогах социально-экономического развития Усть-Большерецкого района за 2019-2020 годы и ожидаемых результатах в 2021 году,</w:t>
      </w:r>
      <w:r w:rsidRPr="00A7123E">
        <w:rPr>
          <w:sz w:val="24"/>
          <w:szCs w:val="24"/>
        </w:rPr>
        <w:t xml:space="preserve"> </w:t>
      </w:r>
      <w:r w:rsidRPr="00A7123E">
        <w:rPr>
          <w:b w:val="0"/>
          <w:sz w:val="24"/>
          <w:szCs w:val="24"/>
        </w:rPr>
        <w:t>сценарных условиях для формирования вариантов развития экономики Российской Федерации на период до 2024 года</w:t>
      </w:r>
      <w:r w:rsidRPr="00A7123E">
        <w:rPr>
          <w:b w:val="0"/>
          <w:bCs/>
          <w:sz w:val="24"/>
          <w:szCs w:val="24"/>
        </w:rPr>
        <w:t xml:space="preserve">, </w:t>
      </w:r>
      <w:r w:rsidRPr="00A7123E">
        <w:rPr>
          <w:b w:val="0"/>
          <w:sz w:val="24"/>
          <w:szCs w:val="24"/>
        </w:rPr>
        <w:t>рекомендованных Министерством экономического развития Российской Федерации, прогнозе социально-экономического развития Камчатского края на 2022 год и плановый период 2023 и 2024 годов, обобщения прогнозных материалов Администрации Усть-Большерецкого района, материалах Федеральной службы государственной статистики (</w:t>
      </w:r>
      <w:proofErr w:type="spellStart"/>
      <w:r w:rsidRPr="00A7123E">
        <w:rPr>
          <w:b w:val="0"/>
          <w:sz w:val="24"/>
          <w:szCs w:val="24"/>
        </w:rPr>
        <w:t>Камчатстата</w:t>
      </w:r>
      <w:proofErr w:type="spellEnd"/>
      <w:r w:rsidRPr="00A7123E">
        <w:rPr>
          <w:b w:val="0"/>
          <w:sz w:val="24"/>
          <w:szCs w:val="24"/>
        </w:rPr>
        <w:t>).</w:t>
      </w:r>
    </w:p>
    <w:p w:rsidR="00A7123E" w:rsidRPr="00A7123E" w:rsidRDefault="00A7123E" w:rsidP="00A7123E">
      <w:pPr>
        <w:autoSpaceDE w:val="0"/>
        <w:autoSpaceDN w:val="0"/>
        <w:adjustRightInd w:val="0"/>
        <w:spacing w:line="276" w:lineRule="auto"/>
        <w:ind w:firstLine="720"/>
        <w:jc w:val="both"/>
        <w:rPr>
          <w:color w:val="000000"/>
        </w:rPr>
      </w:pPr>
      <w:r w:rsidRPr="00A7123E">
        <w:rPr>
          <w:color w:val="000000"/>
        </w:rPr>
        <w:t>Прогноз выполнен в трех вариантах – базовом, консервативном и целевом.</w:t>
      </w:r>
    </w:p>
    <w:p w:rsidR="00A7123E" w:rsidRPr="00A7123E" w:rsidRDefault="00A7123E" w:rsidP="00A7123E">
      <w:pPr>
        <w:spacing w:line="276" w:lineRule="auto"/>
        <w:ind w:firstLine="709"/>
        <w:jc w:val="both"/>
        <w:rPr>
          <w:color w:val="000000"/>
        </w:rPr>
      </w:pPr>
      <w:r w:rsidRPr="00A7123E">
        <w:rPr>
          <w:color w:val="000000"/>
        </w:rPr>
        <w:t>Базовый вариант прогноза (вариант 1 в таблице Прогноза) отражает сложившуюся тенденцию развития экономики Усть-Большерецкого района и предусматривает реализацию муниципальной политики по формированию благоприятного инвестиционного климата, стимулированию экономического роста и модернизации производства. За счет средств местного бюджета продолжится реализация мер поддержки и стимулирования развития экономики: поддержка малого и среднего бизнеса, обеспечение транспортного сообщения между поселениями, поддержка импортозамещения, индексация заработной платы работников бюджетной сферы, обозначенных в Указе Президента РФ от 07.05.2012 № 597.</w:t>
      </w:r>
    </w:p>
    <w:p w:rsidR="00A7123E" w:rsidRPr="00A7123E" w:rsidRDefault="00A7123E" w:rsidP="00A7123E">
      <w:pPr>
        <w:spacing w:line="276" w:lineRule="auto"/>
        <w:ind w:firstLine="709"/>
        <w:jc w:val="both"/>
        <w:rPr>
          <w:color w:val="000000"/>
        </w:rPr>
      </w:pPr>
      <w:r w:rsidRPr="00A7123E">
        <w:rPr>
          <w:color w:val="000000"/>
        </w:rPr>
        <w:t xml:space="preserve">Консервативный вариант Прогноза (в таблице Прогноза не представлен) рассматривает развитие экономики Усть-Большерецкого муниципального района в условиях значительного увеличения дефицита краевого бюджета и сокращению расходов краевого бюджета на межбюджетные трансферты и финансирование мероприятий муниципальных программ, реализуемых за счет средств краевого бюджета в Усть-Большерецком муниципальном районе. </w:t>
      </w:r>
    </w:p>
    <w:p w:rsidR="00A7123E" w:rsidRPr="00A7123E" w:rsidRDefault="00A7123E" w:rsidP="00A7123E">
      <w:pPr>
        <w:spacing w:line="276" w:lineRule="auto"/>
        <w:ind w:firstLine="709"/>
        <w:jc w:val="both"/>
        <w:rPr>
          <w:color w:val="000000"/>
        </w:rPr>
      </w:pPr>
      <w:r w:rsidRPr="00A7123E">
        <w:rPr>
          <w:color w:val="000000"/>
        </w:rPr>
        <w:t>В результате по консервативному варианту прогнозируется резкое сжатие инвестиционного и потребительского спроса до критических значений, а также сохранение высоких темпов потребительской инфляции.</w:t>
      </w:r>
    </w:p>
    <w:p w:rsidR="00A7123E" w:rsidRPr="00A7123E" w:rsidRDefault="00A7123E" w:rsidP="00A7123E">
      <w:pPr>
        <w:spacing w:line="276" w:lineRule="auto"/>
        <w:ind w:firstLine="709"/>
        <w:jc w:val="both"/>
        <w:rPr>
          <w:color w:val="000000"/>
        </w:rPr>
      </w:pPr>
      <w:r w:rsidRPr="00A7123E">
        <w:rPr>
          <w:color w:val="000000"/>
        </w:rPr>
        <w:t xml:space="preserve">Целевой вариант Прогноза (вариант 2 в таблице Прогноза) ориентирует на достижение целевых показателей социально-экономического развития и решение задач стратегического планирования. Сценарий характеризует развитие экономики Усть-Большерецкого муниципального района в условиях повышения доверия частного бизнеса, применения дополнительных мер стимулирующего характера. Отражено более быстрое восстановление </w:t>
      </w:r>
      <w:r w:rsidRPr="00A7123E">
        <w:rPr>
          <w:color w:val="000000"/>
        </w:rPr>
        <w:lastRenderedPageBreak/>
        <w:t xml:space="preserve">экономики на основе повышения эффективности бизнеса, роста банковского кредитования, а также стимулирования экономического роста и модернизации. </w:t>
      </w:r>
    </w:p>
    <w:p w:rsidR="00A7123E" w:rsidRPr="00A7123E" w:rsidRDefault="00A7123E" w:rsidP="00A7123E">
      <w:pPr>
        <w:spacing w:line="276" w:lineRule="auto"/>
        <w:ind w:firstLine="709"/>
        <w:jc w:val="both"/>
        <w:rPr>
          <w:color w:val="000000"/>
        </w:rPr>
      </w:pPr>
      <w:r w:rsidRPr="00A7123E">
        <w:rPr>
          <w:bCs/>
          <w:color w:val="000000"/>
        </w:rPr>
        <w:t xml:space="preserve">Прогноз содержит </w:t>
      </w:r>
      <w:r w:rsidRPr="00A7123E">
        <w:rPr>
          <w:color w:val="000000"/>
        </w:rPr>
        <w:t>итоги социально-эк</w:t>
      </w:r>
      <w:r w:rsidRPr="00A7123E">
        <w:t>ономического развития Усть-Большерецкого муниципального района за 2019, 2020 год и оценку ожидаемых результатов в 2021 году, прогнозные показатели на предстоящий трехлетний период, перечень проблем, решение которых предполагается осуществить посредством реализации муниципальных программ.</w:t>
      </w:r>
    </w:p>
    <w:p w:rsidR="00A7123E" w:rsidRPr="00A7123E" w:rsidRDefault="00A7123E" w:rsidP="00A7123E">
      <w:pPr>
        <w:spacing w:line="276" w:lineRule="auto"/>
        <w:ind w:firstLine="709"/>
        <w:jc w:val="both"/>
      </w:pPr>
      <w:r w:rsidRPr="00A7123E">
        <w:t>Социально-экономическая ситуация в Усть-Большерецком муниципальном районе характеризуется как относительно стабильная. При этом, отмечаются как позитивные тенденции роста экономических показателей, так и снижение темпов развития отдельных отраслей.</w:t>
      </w:r>
    </w:p>
    <w:p w:rsidR="00A7123E" w:rsidRPr="00A7123E" w:rsidRDefault="00A7123E" w:rsidP="00A7123E">
      <w:pPr>
        <w:spacing w:line="276" w:lineRule="auto"/>
        <w:ind w:firstLine="709"/>
        <w:jc w:val="both"/>
      </w:pPr>
      <w:r w:rsidRPr="00A7123E">
        <w:t>Оборот организаций по всем видам экономической деятельности в 2020 году увеличился на 103,5 % к уровню 2019 года в действующих ценах и составил 14 324,2 млн. рублей.</w:t>
      </w:r>
    </w:p>
    <w:p w:rsidR="00A7123E" w:rsidRPr="00A7123E" w:rsidRDefault="00A7123E" w:rsidP="00A7123E">
      <w:pPr>
        <w:ind w:firstLine="709"/>
        <w:jc w:val="both"/>
      </w:pPr>
      <w:r w:rsidRPr="00A7123E">
        <w:t>Наиболее существенное влияние на налоговую политику муниципального района и доходную часть консолидированного бюджета в целом оказывают следующие показатели:</w:t>
      </w:r>
    </w:p>
    <w:p w:rsidR="00A7123E" w:rsidRPr="00A7123E" w:rsidRDefault="00A7123E" w:rsidP="00A7123E">
      <w:pPr>
        <w:ind w:firstLine="709"/>
        <w:jc w:val="both"/>
      </w:pPr>
      <w:r w:rsidRPr="00A7123E">
        <w:t>Оборот организаций за январь-декабрь 2020 года составил 14 324,2 млн. рублей, что составляет 103,5% к январю-декабрю 2019 года.</w:t>
      </w:r>
    </w:p>
    <w:p w:rsidR="00A7123E" w:rsidRPr="00A7123E" w:rsidRDefault="00A7123E" w:rsidP="00A7123E">
      <w:pPr>
        <w:tabs>
          <w:tab w:val="num" w:pos="0"/>
        </w:tabs>
        <w:spacing w:line="276" w:lineRule="auto"/>
        <w:jc w:val="center"/>
        <w:rPr>
          <w:b/>
          <w:i/>
        </w:rPr>
      </w:pPr>
      <w:r w:rsidRPr="00A7123E">
        <w:rPr>
          <w:b/>
          <w:i/>
        </w:rPr>
        <w:t>Демография</w:t>
      </w:r>
    </w:p>
    <w:p w:rsidR="00A7123E" w:rsidRPr="00A7123E" w:rsidRDefault="00A7123E" w:rsidP="00A7123E">
      <w:pPr>
        <w:spacing w:line="276" w:lineRule="auto"/>
        <w:ind w:firstLine="709"/>
        <w:jc w:val="both"/>
      </w:pPr>
      <w:r w:rsidRPr="00A7123E">
        <w:t>Демографическая ситуация в Усть-Большерецком муниципальном районе в течение ряда лет характеризуется ежегодной убылью населения, связанной с миграционным оттоком.</w:t>
      </w:r>
    </w:p>
    <w:p w:rsidR="00A7123E" w:rsidRPr="00A7123E" w:rsidRDefault="00A7123E" w:rsidP="00A7123E">
      <w:pPr>
        <w:spacing w:line="276" w:lineRule="auto"/>
        <w:ind w:firstLine="709"/>
        <w:jc w:val="both"/>
      </w:pPr>
      <w:r w:rsidRPr="00A7123E">
        <w:t>В 2020 году прибыль населения составила 12 человек, как результат миграционного прироста (-24 человека) и естественной убыли населения (-45 человек).</w:t>
      </w:r>
    </w:p>
    <w:p w:rsidR="00A7123E" w:rsidRPr="00A7123E" w:rsidRDefault="00A7123E" w:rsidP="00A7123E">
      <w:pPr>
        <w:spacing w:line="276" w:lineRule="auto"/>
        <w:ind w:firstLine="709"/>
        <w:jc w:val="both"/>
      </w:pPr>
      <w:r w:rsidRPr="00A7123E">
        <w:t>По данным территориального органа федеральной службы государственной статистики по Камчатскому краю численность населения Усть-Большерецкого района на 01 января 2021 года составила 7,310 тыс. человек, из них 100% сельские жители.</w:t>
      </w:r>
    </w:p>
    <w:p w:rsidR="00A7123E" w:rsidRPr="00A7123E" w:rsidRDefault="00A7123E" w:rsidP="00A7123E">
      <w:pPr>
        <w:spacing w:line="276" w:lineRule="auto"/>
        <w:ind w:firstLine="709"/>
        <w:jc w:val="both"/>
      </w:pPr>
      <w:r w:rsidRPr="00A7123E">
        <w:t>В 2020 году в Усть-Большерецком муниципальном районе родилось 44 малыша, что на 1 малыша больше, чем в 2019 году. На каждую 1000 населения в 2020 году приходилось 6,1 рождений. Естественный прирост населения отмечен в Апачинском сельском поселении, в поселке Озерновский, в поселке Паужетка и селе Запорожье.</w:t>
      </w:r>
    </w:p>
    <w:p w:rsidR="00A7123E" w:rsidRPr="00A7123E" w:rsidRDefault="00A7123E" w:rsidP="00A7123E">
      <w:pPr>
        <w:spacing w:line="276" w:lineRule="auto"/>
        <w:ind w:firstLine="709"/>
        <w:jc w:val="both"/>
      </w:pPr>
      <w:r w:rsidRPr="00A7123E">
        <w:t xml:space="preserve">В течение 2020 года в районе умерло 89 человек, что на 16 человек, больше показателя 2019 года. Смертность по району в 20202 году превысило рождаемость. </w:t>
      </w:r>
    </w:p>
    <w:p w:rsidR="00A7123E" w:rsidRPr="00A7123E" w:rsidRDefault="00A7123E" w:rsidP="00A7123E">
      <w:pPr>
        <w:spacing w:line="276" w:lineRule="auto"/>
        <w:ind w:firstLine="709"/>
        <w:jc w:val="both"/>
      </w:pPr>
    </w:p>
    <w:p w:rsidR="00A7123E" w:rsidRPr="00A7123E" w:rsidRDefault="00A7123E" w:rsidP="00A7123E">
      <w:pPr>
        <w:spacing w:line="276" w:lineRule="auto"/>
        <w:ind w:firstLine="709"/>
        <w:jc w:val="center"/>
        <w:rPr>
          <w:b/>
        </w:rPr>
      </w:pPr>
      <w:r w:rsidRPr="00A7123E">
        <w:rPr>
          <w:b/>
        </w:rPr>
        <w:t>Рождаемость и смертность, на 1000 человек населения</w:t>
      </w:r>
    </w:p>
    <w:p w:rsidR="00A7123E" w:rsidRPr="00A7123E" w:rsidRDefault="00A7123E" w:rsidP="00A7123E">
      <w:pPr>
        <w:spacing w:line="276" w:lineRule="auto"/>
        <w:jc w:val="center"/>
      </w:pPr>
      <w:r w:rsidRPr="00A7123E">
        <w:rPr>
          <w:noProof/>
        </w:rPr>
        <w:drawing>
          <wp:inline distT="0" distB="0" distL="0" distR="0" wp14:anchorId="4A8740B4" wp14:editId="41CA2909">
            <wp:extent cx="5534025" cy="229362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7123E" w:rsidRPr="00A7123E" w:rsidRDefault="00A7123E" w:rsidP="00A7123E">
      <w:pPr>
        <w:spacing w:line="276" w:lineRule="auto"/>
        <w:ind w:firstLine="709"/>
        <w:jc w:val="both"/>
      </w:pPr>
      <w:r w:rsidRPr="00A7123E">
        <w:t xml:space="preserve">Число выбывших в 2020 году – 12 человек. </w:t>
      </w:r>
    </w:p>
    <w:p w:rsidR="00A7123E" w:rsidRPr="00A7123E" w:rsidRDefault="00A7123E" w:rsidP="00A7123E">
      <w:pPr>
        <w:spacing w:line="276" w:lineRule="auto"/>
        <w:ind w:firstLine="709"/>
        <w:jc w:val="both"/>
      </w:pPr>
      <w:r w:rsidRPr="00A7123E">
        <w:t>Миграция оказывает большое влияние и на половозрастную структуру населения района. Наиболее высокой подвижностью обладает население в трудоспособном возрасте. Лица данной группы составляют три четверти всей миграции района.</w:t>
      </w:r>
    </w:p>
    <w:p w:rsidR="00A7123E" w:rsidRPr="00A7123E" w:rsidRDefault="00A7123E" w:rsidP="00A7123E">
      <w:pPr>
        <w:spacing w:line="276" w:lineRule="auto"/>
        <w:ind w:firstLine="709"/>
        <w:jc w:val="both"/>
      </w:pPr>
      <w:r w:rsidRPr="00A7123E">
        <w:lastRenderedPageBreak/>
        <w:t>В 2020 году доля трудоспособного населения в составе прибывшего и выбывшего населения составила 75,6 % и 66,9 % соответственно.</w:t>
      </w:r>
    </w:p>
    <w:p w:rsidR="00A7123E" w:rsidRPr="00A7123E" w:rsidRDefault="00A7123E" w:rsidP="00A7123E">
      <w:pPr>
        <w:spacing w:line="276" w:lineRule="auto"/>
        <w:ind w:firstLine="709"/>
        <w:jc w:val="both"/>
      </w:pPr>
      <w:r w:rsidRPr="00A7123E">
        <w:t>Рост числа выезжающих пожилых людей является следствием стремления этой категории мигрантов ограничить время своего проживания на Севере по возможности периодом работы. В 2020 году доля населения старше трудоспособного возраста в составе выбывших с территории района составила 15,5 % и превысила долю прибывших на 9,0 %.</w:t>
      </w:r>
    </w:p>
    <w:p w:rsidR="00A7123E" w:rsidRPr="00A7123E" w:rsidRDefault="00A7123E" w:rsidP="00A7123E">
      <w:pPr>
        <w:spacing w:line="276" w:lineRule="auto"/>
        <w:ind w:firstLine="709"/>
        <w:jc w:val="both"/>
      </w:pPr>
      <w:r w:rsidRPr="00A7123E">
        <w:t>Наиболее острыми проблемами демографической ситуации остаются: значительный миграционный отток населения, высокая смертность трудоспособного возраста, увеличение доли лиц старше трудоспособного населения.</w:t>
      </w:r>
    </w:p>
    <w:p w:rsidR="00A7123E" w:rsidRPr="00A7123E" w:rsidRDefault="00A7123E" w:rsidP="00A7123E">
      <w:pPr>
        <w:spacing w:line="276" w:lineRule="auto"/>
        <w:ind w:firstLine="709"/>
        <w:jc w:val="both"/>
      </w:pPr>
      <w:r w:rsidRPr="00A7123E">
        <w:t>Негативные демографические тенденции ставят на первый план задачи народосбережения: увеличения рождаемости, сокращения смертности, улучшения возрастной структуры населения.</w:t>
      </w:r>
    </w:p>
    <w:p w:rsidR="00A7123E" w:rsidRPr="00A7123E" w:rsidRDefault="00A7123E" w:rsidP="00A7123E">
      <w:pPr>
        <w:spacing w:line="276" w:lineRule="auto"/>
        <w:ind w:firstLine="709"/>
        <w:jc w:val="both"/>
      </w:pPr>
      <w:r w:rsidRPr="00A7123E">
        <w:t xml:space="preserve">По оценке, среднегодовая численность постоянного населения Усть-Большерецкого муниципального района в 2021 году составит 7,31 тыс. человек или 100,1 % от уровня 2020 года. </w:t>
      </w:r>
    </w:p>
    <w:p w:rsidR="00A7123E" w:rsidRPr="00A7123E" w:rsidRDefault="00A7123E" w:rsidP="00A7123E">
      <w:pPr>
        <w:spacing w:line="276" w:lineRule="auto"/>
        <w:ind w:firstLine="709"/>
        <w:jc w:val="both"/>
      </w:pPr>
      <w:r w:rsidRPr="00A7123E">
        <w:t>Коэффициент рождаемости по итогам года оценивается в 7,4 промилле, коэффициент смертности – в 13,6 промилле. В совокупности, естественный прирост составит -6,2 промилле на 1 000 человек населения.</w:t>
      </w:r>
    </w:p>
    <w:p w:rsidR="00A7123E" w:rsidRPr="00A7123E" w:rsidRDefault="00A7123E" w:rsidP="00A7123E">
      <w:pPr>
        <w:spacing w:line="276" w:lineRule="auto"/>
        <w:ind w:firstLine="709"/>
        <w:jc w:val="both"/>
      </w:pPr>
      <w:r w:rsidRPr="00A7123E">
        <w:t xml:space="preserve">Согласно 1 варианту прогноза демографические процессы характеризуются стабильным естественным приростом населения и сокращением миграционной убыли трудоспособного населения из Усть-Большерецкого муниципального района, увеличением продолжительности жизни. </w:t>
      </w:r>
    </w:p>
    <w:p w:rsidR="00A7123E" w:rsidRPr="00A7123E" w:rsidRDefault="00A7123E" w:rsidP="00A7123E">
      <w:pPr>
        <w:spacing w:line="276" w:lineRule="auto"/>
        <w:ind w:firstLine="709"/>
        <w:jc w:val="both"/>
      </w:pPr>
      <w:r w:rsidRPr="00A7123E">
        <w:t xml:space="preserve">На протяжении всего прогнозного периода доминирующая роль в формировании демографической ситуации останется за миграционными процессами. Миграционная убыль в 2021 году сменится миграционным приростом в 2024 году. </w:t>
      </w:r>
    </w:p>
    <w:p w:rsidR="00A7123E" w:rsidRPr="00A7123E" w:rsidRDefault="00A7123E" w:rsidP="00A7123E">
      <w:pPr>
        <w:spacing w:line="276" w:lineRule="auto"/>
        <w:ind w:firstLine="709"/>
        <w:jc w:val="both"/>
      </w:pPr>
      <w:r w:rsidRPr="00A7123E">
        <w:t>В результате исполнения сценарных условий 1 варианта прогноза среднегодовая численность населения Усть-Большерецкого района в 2024 году составит 7,43 тыс. человек.</w:t>
      </w:r>
    </w:p>
    <w:p w:rsidR="00A7123E" w:rsidRPr="00A7123E" w:rsidRDefault="00A7123E" w:rsidP="00A7123E">
      <w:pPr>
        <w:spacing w:line="276" w:lineRule="auto"/>
        <w:ind w:firstLine="709"/>
        <w:jc w:val="both"/>
      </w:pPr>
      <w:r w:rsidRPr="00A7123E">
        <w:t>Реализация мер демографической политики будет способствовать стабильной рождаемости (в среднем 11,4 промилле на 1 000 человек населения на протяжении всего прогнозного периода), снижению уровня смертности (с 11,0 промилле на 1 000 человек населения в 2019 году до 10,8 промилле в 2024 году), позволит повысить ожидаемую продолжительность жизни с 70,6 лет в 2019 году до 72,7 лет в 2024 году.</w:t>
      </w:r>
    </w:p>
    <w:p w:rsidR="00A7123E" w:rsidRPr="00A7123E" w:rsidRDefault="00A7123E" w:rsidP="00A7123E">
      <w:pPr>
        <w:spacing w:line="276" w:lineRule="auto"/>
        <w:ind w:firstLine="709"/>
        <w:jc w:val="both"/>
      </w:pPr>
      <w:r w:rsidRPr="00A7123E">
        <w:t>В результате исполнения сценарных условий 2 варианта прогноза среднегодовая численность населения Усть-Большерецкого муниципального района в 2024 году увеличится на 0,22 тыс. человек относительно 2019 года.</w:t>
      </w:r>
    </w:p>
    <w:p w:rsidR="00A7123E" w:rsidRPr="00A7123E" w:rsidRDefault="00A7123E" w:rsidP="00A7123E">
      <w:pPr>
        <w:spacing w:line="276" w:lineRule="auto"/>
        <w:ind w:firstLine="709"/>
        <w:jc w:val="both"/>
      </w:pPr>
      <w:r w:rsidRPr="00A7123E">
        <w:t>Ожидаемая продолжительность жизни в 2024 году составит 72,7 года. Общий коэффициент рождаемости увеличится с 6,1 промилле на 1 000 человек населения в 2019 году до 10,1 промилле в 2024 году. Общий коэффициент смертности снизится с 11,0 промилле на 1 000 человек населения в 2019 году до 10,8 промилле в 2024 году. Миграционная убыль 2019-2020 годах (-180 человек) сменится в 2021 году миграционным приростом (30 человек). В 2022 году положительная динамика миграционных процессов сохранится.</w:t>
      </w:r>
    </w:p>
    <w:p w:rsidR="00A7123E" w:rsidRPr="00A7123E" w:rsidRDefault="00A7123E" w:rsidP="00A7123E">
      <w:pPr>
        <w:tabs>
          <w:tab w:val="num" w:pos="0"/>
        </w:tabs>
        <w:spacing w:line="276" w:lineRule="auto"/>
        <w:jc w:val="center"/>
        <w:rPr>
          <w:b/>
          <w:i/>
        </w:rPr>
      </w:pPr>
    </w:p>
    <w:p w:rsidR="00A7123E" w:rsidRPr="00A7123E" w:rsidRDefault="00A7123E" w:rsidP="00A7123E">
      <w:pPr>
        <w:tabs>
          <w:tab w:val="num" w:pos="0"/>
        </w:tabs>
        <w:spacing w:line="276" w:lineRule="auto"/>
        <w:jc w:val="center"/>
        <w:rPr>
          <w:b/>
          <w:i/>
        </w:rPr>
      </w:pPr>
      <w:r w:rsidRPr="00A7123E">
        <w:rPr>
          <w:b/>
          <w:i/>
        </w:rPr>
        <w:t>Промышленность</w:t>
      </w:r>
    </w:p>
    <w:p w:rsidR="00A7123E" w:rsidRPr="00A7123E" w:rsidRDefault="00A7123E" w:rsidP="00A7123E">
      <w:pPr>
        <w:tabs>
          <w:tab w:val="left" w:pos="4103"/>
        </w:tabs>
        <w:ind w:firstLine="709"/>
        <w:jc w:val="both"/>
      </w:pPr>
      <w:r w:rsidRPr="00A7123E">
        <w:t>Объем отгруженных товаров собственного производства, выполненных работ и услуг собственными силами, по организациям, не относящимся к субъектам малого предпринимательства, составил 12 630,2 млн. рублей, что составляет 104,2% к январю-ноябрю 2019 года, в том числе по отдельным видам деятельности:</w:t>
      </w:r>
    </w:p>
    <w:p w:rsidR="00A7123E" w:rsidRPr="00A7123E" w:rsidRDefault="00A7123E" w:rsidP="00A7123E">
      <w:pPr>
        <w:ind w:firstLine="708"/>
        <w:jc w:val="both"/>
      </w:pPr>
      <w:r w:rsidRPr="00A7123E">
        <w:t>- сельское, лесное хозяйство, охота, рыболовство и рыбоводство – 136,9 млн. руб., что составляет 90,7 % к аналогичному периоду 2019 года;</w:t>
      </w:r>
    </w:p>
    <w:p w:rsidR="00A7123E" w:rsidRPr="00A7123E" w:rsidRDefault="00A7123E" w:rsidP="00A7123E">
      <w:pPr>
        <w:ind w:firstLine="708"/>
        <w:jc w:val="both"/>
      </w:pPr>
      <w:r w:rsidRPr="00A7123E">
        <w:lastRenderedPageBreak/>
        <w:t>- обрабатывающие производства – 10 849,1 млн. рублей или 102,8% к январю-ноябрю 2019 года;</w:t>
      </w:r>
    </w:p>
    <w:p w:rsidR="00A7123E" w:rsidRPr="00A7123E" w:rsidRDefault="00A7123E" w:rsidP="00A7123E">
      <w:pPr>
        <w:ind w:firstLine="709"/>
        <w:jc w:val="both"/>
      </w:pPr>
      <w:r w:rsidRPr="00A7123E">
        <w:t>- обеспечение электрической энергией, газом и паром; кондиционирование воздуха –1313,8 млн. рублей или 122,1% к январю-ноябрю 2019 года;</w:t>
      </w:r>
    </w:p>
    <w:p w:rsidR="00A7123E" w:rsidRPr="00A7123E" w:rsidRDefault="00A7123E" w:rsidP="00A7123E">
      <w:pPr>
        <w:ind w:firstLine="709"/>
        <w:jc w:val="both"/>
      </w:pPr>
      <w:r w:rsidRPr="00A7123E">
        <w:t>- водоснабжение; водоотведение, организация сбора и утилизации отходов, деятельность по ликвидации загрязнений 197,3% к январю-ноябрю 2019 года.</w:t>
      </w:r>
    </w:p>
    <w:p w:rsidR="00A7123E" w:rsidRPr="00A7123E" w:rsidRDefault="00A7123E" w:rsidP="00A7123E">
      <w:pPr>
        <w:ind w:firstLine="709"/>
        <w:jc w:val="both"/>
      </w:pPr>
      <w:r w:rsidRPr="00A7123E">
        <w:t>Оборот розничной торговли за январь-ноябрь 2020 года составил 102,6% к аналогичному периоду 2019 года.</w:t>
      </w:r>
    </w:p>
    <w:p w:rsidR="00A7123E" w:rsidRPr="00A7123E" w:rsidRDefault="00A7123E" w:rsidP="00A7123E">
      <w:pPr>
        <w:ind w:firstLine="709"/>
        <w:jc w:val="both"/>
      </w:pPr>
      <w:r w:rsidRPr="00A7123E">
        <w:t>Оборот розничной торговли в расчете на душу населения за январь - ноябрь 2020 года составил 23 691,70 рублей, что на 613,5 рублей больше чем за аналогичный период 2019 года.</w:t>
      </w:r>
    </w:p>
    <w:p w:rsidR="00A7123E" w:rsidRPr="00A7123E" w:rsidRDefault="00A7123E" w:rsidP="00A7123E">
      <w:pPr>
        <w:ind w:firstLine="709"/>
        <w:jc w:val="both"/>
      </w:pPr>
      <w:r w:rsidRPr="00A7123E">
        <w:t>Оборот общественного питания составил 56,5% по сравнению с аналогичным периодом 2019 года.</w:t>
      </w:r>
    </w:p>
    <w:p w:rsidR="00A7123E" w:rsidRPr="00A7123E" w:rsidRDefault="00A7123E" w:rsidP="00A7123E">
      <w:pPr>
        <w:pStyle w:val="ab"/>
        <w:spacing w:line="276" w:lineRule="auto"/>
        <w:ind w:firstLine="709"/>
        <w:jc w:val="both"/>
        <w:rPr>
          <w:b w:val="0"/>
          <w:color w:val="000000"/>
          <w:sz w:val="24"/>
          <w:szCs w:val="24"/>
        </w:rPr>
      </w:pPr>
      <w:r w:rsidRPr="00A7123E">
        <w:rPr>
          <w:b w:val="0"/>
          <w:color w:val="000000"/>
          <w:sz w:val="24"/>
          <w:szCs w:val="24"/>
        </w:rPr>
        <w:t>В структуре обрабатывающих производств основные объемы производства сформированы предприятиями пищевой (</w:t>
      </w:r>
      <w:proofErr w:type="spellStart"/>
      <w:r w:rsidRPr="00A7123E">
        <w:rPr>
          <w:b w:val="0"/>
          <w:color w:val="000000"/>
          <w:sz w:val="24"/>
          <w:szCs w:val="24"/>
        </w:rPr>
        <w:t>рыбоперерабатывающей</w:t>
      </w:r>
      <w:proofErr w:type="spellEnd"/>
      <w:r w:rsidRPr="00A7123E">
        <w:rPr>
          <w:b w:val="0"/>
          <w:color w:val="000000"/>
          <w:sz w:val="24"/>
          <w:szCs w:val="24"/>
        </w:rPr>
        <w:t>) промышленности, развитие которой будет определять динамику развития отрасли в целом.</w:t>
      </w:r>
    </w:p>
    <w:p w:rsidR="00A7123E" w:rsidRPr="00A7123E" w:rsidRDefault="00A7123E" w:rsidP="00A7123E">
      <w:pPr>
        <w:pStyle w:val="ab"/>
        <w:spacing w:line="276" w:lineRule="auto"/>
        <w:ind w:firstLine="709"/>
        <w:jc w:val="both"/>
        <w:rPr>
          <w:b w:val="0"/>
          <w:color w:val="000000"/>
          <w:sz w:val="24"/>
          <w:szCs w:val="24"/>
        </w:rPr>
      </w:pPr>
      <w:r w:rsidRPr="00A7123E">
        <w:rPr>
          <w:b w:val="0"/>
          <w:color w:val="000000"/>
          <w:sz w:val="24"/>
          <w:szCs w:val="24"/>
        </w:rPr>
        <w:t>Основными предприятиями отрасли являются АО «Озерновский рыбоконсервный завод № 55», ООО «Витязь-Авто», ООО «</w:t>
      </w:r>
      <w:proofErr w:type="spellStart"/>
      <w:r w:rsidRPr="00A7123E">
        <w:rPr>
          <w:b w:val="0"/>
          <w:color w:val="000000"/>
          <w:sz w:val="24"/>
          <w:szCs w:val="24"/>
        </w:rPr>
        <w:t>Алык</w:t>
      </w:r>
      <w:proofErr w:type="spellEnd"/>
      <w:r w:rsidRPr="00A7123E">
        <w:rPr>
          <w:b w:val="0"/>
          <w:color w:val="000000"/>
          <w:sz w:val="24"/>
          <w:szCs w:val="24"/>
        </w:rPr>
        <w:t>», ООО «</w:t>
      </w:r>
      <w:proofErr w:type="spellStart"/>
      <w:r w:rsidRPr="00A7123E">
        <w:rPr>
          <w:b w:val="0"/>
          <w:color w:val="000000"/>
          <w:sz w:val="24"/>
          <w:szCs w:val="24"/>
        </w:rPr>
        <w:t>Лойд</w:t>
      </w:r>
      <w:proofErr w:type="spellEnd"/>
      <w:r w:rsidRPr="00A7123E">
        <w:rPr>
          <w:b w:val="0"/>
          <w:color w:val="000000"/>
          <w:sz w:val="24"/>
          <w:szCs w:val="24"/>
        </w:rPr>
        <w:t>-Фиш», ООО «Рыболовецкая артель «Народы Севера», ООО «Дельта», ООО «</w:t>
      </w:r>
      <w:proofErr w:type="spellStart"/>
      <w:r w:rsidRPr="00A7123E">
        <w:rPr>
          <w:b w:val="0"/>
          <w:color w:val="000000"/>
          <w:sz w:val="24"/>
          <w:szCs w:val="24"/>
        </w:rPr>
        <w:t>Рыбхолкам</w:t>
      </w:r>
      <w:proofErr w:type="spellEnd"/>
      <w:r w:rsidRPr="00A7123E">
        <w:rPr>
          <w:b w:val="0"/>
          <w:color w:val="000000"/>
          <w:sz w:val="24"/>
          <w:szCs w:val="24"/>
        </w:rPr>
        <w:t>», ООО Рыбокомбинат «Западный», ООО «Большерецк», Рыболовецкая артель «колхоз Красный труженик», ООО «Октябрьский рыбокомбинат», АО «Рыбоконсервный завод «Командор», ООО Рыбодобывающая перерабатывающая компания «Скоп».</w:t>
      </w:r>
    </w:p>
    <w:p w:rsidR="00A7123E" w:rsidRPr="00A7123E" w:rsidRDefault="00A7123E" w:rsidP="00A7123E">
      <w:pPr>
        <w:ind w:firstLine="709"/>
        <w:jc w:val="both"/>
      </w:pPr>
      <w:r w:rsidRPr="00A7123E">
        <w:t>Производство рыбы переработанной и консервированной, ракообразных и моллюсков за январь-ноябрь 2020 года составило 94 336,5 тонн или 93,4 % к январю-ноябрю 2019 года.</w:t>
      </w:r>
    </w:p>
    <w:p w:rsidR="00A7123E" w:rsidRPr="00A7123E" w:rsidRDefault="00A7123E" w:rsidP="00A7123E">
      <w:pPr>
        <w:ind w:firstLine="709"/>
        <w:jc w:val="both"/>
      </w:pPr>
      <w:r w:rsidRPr="00A7123E">
        <w:t>Производство рыбы морской свежей или охлажденной, не являющейся продукцией рыбоводства, за январь-ноябрь 2020 года составило 73,3% к аналогичному периоду 2019 года.</w:t>
      </w:r>
    </w:p>
    <w:p w:rsidR="00A7123E" w:rsidRPr="00A7123E" w:rsidRDefault="00A7123E" w:rsidP="00A7123E">
      <w:pPr>
        <w:pStyle w:val="ab"/>
        <w:spacing w:line="276" w:lineRule="auto"/>
        <w:ind w:firstLine="709"/>
        <w:jc w:val="both"/>
        <w:rPr>
          <w:b w:val="0"/>
          <w:color w:val="000000"/>
          <w:sz w:val="24"/>
          <w:szCs w:val="24"/>
        </w:rPr>
      </w:pPr>
      <w:r w:rsidRPr="00A7123E">
        <w:rPr>
          <w:b w:val="0"/>
          <w:color w:val="000000"/>
          <w:sz w:val="24"/>
          <w:szCs w:val="24"/>
        </w:rPr>
        <w:t>В обрабатывающем производстве объем отгруженных товаров собственного производства в 2021 году оценивается в размере 12 546,8 млн. рублей.</w:t>
      </w:r>
    </w:p>
    <w:p w:rsidR="00A7123E" w:rsidRPr="00A7123E" w:rsidRDefault="00A7123E" w:rsidP="00A7123E">
      <w:pPr>
        <w:pStyle w:val="ab"/>
        <w:spacing w:line="276" w:lineRule="auto"/>
        <w:ind w:firstLine="709"/>
        <w:jc w:val="both"/>
        <w:rPr>
          <w:b w:val="0"/>
          <w:color w:val="000000"/>
          <w:sz w:val="24"/>
          <w:szCs w:val="24"/>
        </w:rPr>
      </w:pPr>
      <w:r w:rsidRPr="00A7123E">
        <w:rPr>
          <w:b w:val="0"/>
          <w:color w:val="000000"/>
          <w:sz w:val="24"/>
          <w:szCs w:val="24"/>
        </w:rPr>
        <w:t>В обрабатывающем производстве по первому варианту прогноза объем отгруженных товаров собственного производства сложится в 2022 году в размере 13 500,0 млн. рублей, в 2023 году – 13 800,00 млн. рублей, в 2024 году – 14 000,00 млн. рублей. Индекс производства прогнозируется в 2021 году 103,1 %, в 2022 году – 103,6 %, в 2023 году – 103,7%.</w:t>
      </w:r>
    </w:p>
    <w:p w:rsidR="00A7123E" w:rsidRPr="00A7123E" w:rsidRDefault="00A7123E" w:rsidP="00A7123E">
      <w:pPr>
        <w:pStyle w:val="ab"/>
        <w:spacing w:line="276" w:lineRule="auto"/>
        <w:ind w:firstLine="709"/>
        <w:jc w:val="both"/>
        <w:rPr>
          <w:b w:val="0"/>
          <w:color w:val="000000"/>
          <w:sz w:val="24"/>
          <w:szCs w:val="24"/>
        </w:rPr>
      </w:pPr>
      <w:r w:rsidRPr="00A7123E">
        <w:rPr>
          <w:b w:val="0"/>
          <w:color w:val="000000"/>
          <w:sz w:val="24"/>
          <w:szCs w:val="24"/>
        </w:rPr>
        <w:t xml:space="preserve">Производство и распределение электроэнергии, газа и воды составляет 9,4 % промышленного производства Усть-Большерецкого муниципального района. На территории района эту отрасль представляют такие предприятия следующие предприятия: ПАО «Камчатскэнерго» «Возобновляемая энергетика», в состав которого входят «Камчатский </w:t>
      </w:r>
      <w:proofErr w:type="spellStart"/>
      <w:r w:rsidRPr="00A7123E">
        <w:rPr>
          <w:b w:val="0"/>
          <w:color w:val="000000"/>
          <w:sz w:val="24"/>
          <w:szCs w:val="24"/>
        </w:rPr>
        <w:t>газоэнергетический</w:t>
      </w:r>
      <w:proofErr w:type="spellEnd"/>
      <w:r w:rsidRPr="00A7123E">
        <w:rPr>
          <w:b w:val="0"/>
          <w:color w:val="000000"/>
          <w:sz w:val="24"/>
          <w:szCs w:val="24"/>
        </w:rPr>
        <w:t xml:space="preserve"> комплекс (</w:t>
      </w:r>
      <w:proofErr w:type="spellStart"/>
      <w:r w:rsidRPr="00A7123E">
        <w:rPr>
          <w:b w:val="0"/>
          <w:color w:val="000000"/>
          <w:sz w:val="24"/>
          <w:szCs w:val="24"/>
        </w:rPr>
        <w:t>КамГЭК</w:t>
      </w:r>
      <w:proofErr w:type="spellEnd"/>
      <w:r w:rsidRPr="00A7123E">
        <w:rPr>
          <w:b w:val="0"/>
          <w:color w:val="000000"/>
          <w:sz w:val="24"/>
          <w:szCs w:val="24"/>
        </w:rPr>
        <w:t>), АО «</w:t>
      </w:r>
      <w:proofErr w:type="spellStart"/>
      <w:r w:rsidRPr="00A7123E">
        <w:rPr>
          <w:b w:val="0"/>
          <w:color w:val="000000"/>
          <w:sz w:val="24"/>
          <w:szCs w:val="24"/>
        </w:rPr>
        <w:t>Паужетская</w:t>
      </w:r>
      <w:proofErr w:type="spellEnd"/>
      <w:r w:rsidRPr="00A7123E">
        <w:rPr>
          <w:b w:val="0"/>
          <w:color w:val="000000"/>
          <w:sz w:val="24"/>
          <w:szCs w:val="24"/>
        </w:rPr>
        <w:t xml:space="preserve"> </w:t>
      </w:r>
      <w:proofErr w:type="spellStart"/>
      <w:r w:rsidRPr="00A7123E">
        <w:rPr>
          <w:b w:val="0"/>
          <w:color w:val="000000"/>
          <w:sz w:val="24"/>
          <w:szCs w:val="24"/>
        </w:rPr>
        <w:t>ГеоЭС</w:t>
      </w:r>
      <w:proofErr w:type="spellEnd"/>
      <w:r w:rsidRPr="00A7123E">
        <w:rPr>
          <w:b w:val="0"/>
          <w:color w:val="000000"/>
          <w:sz w:val="24"/>
          <w:szCs w:val="24"/>
        </w:rPr>
        <w:t>», АО «</w:t>
      </w:r>
      <w:proofErr w:type="spellStart"/>
      <w:r w:rsidRPr="00A7123E">
        <w:rPr>
          <w:b w:val="0"/>
          <w:color w:val="000000"/>
          <w:sz w:val="24"/>
          <w:szCs w:val="24"/>
        </w:rPr>
        <w:t>Геотерм</w:t>
      </w:r>
      <w:proofErr w:type="spellEnd"/>
      <w:r w:rsidRPr="00A7123E">
        <w:rPr>
          <w:b w:val="0"/>
          <w:color w:val="000000"/>
          <w:sz w:val="24"/>
          <w:szCs w:val="24"/>
        </w:rPr>
        <w:t>» и отдельно АО «Камчатские электрические сети им. И.А. Пискунова».</w:t>
      </w:r>
    </w:p>
    <w:p w:rsidR="00A7123E" w:rsidRPr="00A7123E" w:rsidRDefault="00A7123E" w:rsidP="00A7123E">
      <w:pPr>
        <w:pStyle w:val="ab"/>
        <w:spacing w:line="276" w:lineRule="auto"/>
        <w:ind w:firstLine="709"/>
        <w:jc w:val="both"/>
        <w:rPr>
          <w:b w:val="0"/>
          <w:color w:val="000000"/>
          <w:sz w:val="24"/>
          <w:szCs w:val="24"/>
        </w:rPr>
      </w:pPr>
      <w:r w:rsidRPr="00A7123E">
        <w:rPr>
          <w:b w:val="0"/>
          <w:color w:val="000000"/>
          <w:sz w:val="24"/>
          <w:szCs w:val="24"/>
        </w:rPr>
        <w:t>Электростанциями района произведено 119,22 млн. кВт/час электроэнергии. Производство электроэнергии увеличилось на 1,0 % по сравнению с предыдущим годом.</w:t>
      </w:r>
    </w:p>
    <w:p w:rsidR="00A7123E" w:rsidRPr="00A7123E" w:rsidRDefault="00A7123E" w:rsidP="00A7123E">
      <w:pPr>
        <w:pStyle w:val="ab"/>
        <w:spacing w:line="276" w:lineRule="auto"/>
        <w:ind w:firstLine="709"/>
        <w:jc w:val="both"/>
        <w:rPr>
          <w:b w:val="0"/>
          <w:color w:val="000000"/>
          <w:sz w:val="24"/>
          <w:szCs w:val="24"/>
        </w:rPr>
      </w:pPr>
      <w:r w:rsidRPr="00A7123E">
        <w:rPr>
          <w:b w:val="0"/>
          <w:color w:val="000000"/>
          <w:sz w:val="24"/>
          <w:szCs w:val="24"/>
        </w:rPr>
        <w:t>Электростанциями района в 2021-2024 годах будет произведено по 123,9 млн. кВт/час электроэнергии.</w:t>
      </w:r>
    </w:p>
    <w:p w:rsidR="00A7123E" w:rsidRPr="00A7123E" w:rsidRDefault="00A7123E" w:rsidP="00A7123E">
      <w:pPr>
        <w:spacing w:line="276" w:lineRule="auto"/>
        <w:ind w:firstLine="708"/>
        <w:jc w:val="both"/>
      </w:pPr>
    </w:p>
    <w:p w:rsidR="00A7123E" w:rsidRPr="00A7123E" w:rsidRDefault="00A7123E" w:rsidP="00A7123E">
      <w:pPr>
        <w:autoSpaceDE w:val="0"/>
        <w:autoSpaceDN w:val="0"/>
        <w:adjustRightInd w:val="0"/>
        <w:spacing w:line="276" w:lineRule="auto"/>
        <w:ind w:firstLine="540"/>
        <w:jc w:val="center"/>
        <w:outlineLvl w:val="0"/>
        <w:rPr>
          <w:b/>
          <w:i/>
        </w:rPr>
      </w:pPr>
      <w:bookmarkStart w:id="0" w:name="sub_2003"/>
      <w:r w:rsidRPr="00A7123E">
        <w:rPr>
          <w:b/>
          <w:i/>
        </w:rPr>
        <w:t>Транспорт и связь</w:t>
      </w:r>
    </w:p>
    <w:p w:rsidR="00A7123E" w:rsidRPr="00A7123E" w:rsidRDefault="00A7123E" w:rsidP="00A7123E">
      <w:pPr>
        <w:autoSpaceDE w:val="0"/>
        <w:autoSpaceDN w:val="0"/>
        <w:adjustRightInd w:val="0"/>
        <w:spacing w:line="276" w:lineRule="auto"/>
        <w:ind w:firstLine="709"/>
        <w:jc w:val="both"/>
        <w:outlineLvl w:val="0"/>
      </w:pPr>
      <w:r w:rsidRPr="00A7123E">
        <w:t xml:space="preserve">Транспортно-эксплуатационное состояние большей части дорог района по своим параметрам (радиусы кривых в плане, ширина земляного полотна и проезжей части, тип дорожной одежды и т.д.) не соответствует требованиям транспортных потоков. Увеличение транспортной нагрузки, происходящее в последнее время, ведет к ускоренному разрушению дорожных покрытий, требует дополнительных средств на их усиление. Недостаточность финансовых средств </w:t>
      </w:r>
      <w:r w:rsidRPr="00A7123E">
        <w:lastRenderedPageBreak/>
        <w:t xml:space="preserve">влечет за собой ежегодный </w:t>
      </w:r>
      <w:proofErr w:type="spellStart"/>
      <w:r w:rsidRPr="00A7123E">
        <w:t>недоремонт</w:t>
      </w:r>
      <w:proofErr w:type="spellEnd"/>
      <w:r w:rsidRPr="00A7123E">
        <w:t xml:space="preserve">, в результате чего физический износ дорог не восстанавливается. </w:t>
      </w:r>
    </w:p>
    <w:p w:rsidR="00A7123E" w:rsidRPr="00A7123E" w:rsidRDefault="00A7123E" w:rsidP="00A7123E">
      <w:pPr>
        <w:autoSpaceDE w:val="0"/>
        <w:autoSpaceDN w:val="0"/>
        <w:adjustRightInd w:val="0"/>
        <w:spacing w:line="276" w:lineRule="auto"/>
        <w:ind w:firstLine="709"/>
        <w:jc w:val="both"/>
        <w:outlineLvl w:val="0"/>
      </w:pPr>
      <w:r w:rsidRPr="00A7123E">
        <w:t>В настоящее время, серьезной проблемой является состояние мостов на дорогах, построенные несколько десятилетий назад. Их габариты и техническое состояние не удовлетворяют современным требованиям по параметрам и нагрузкам автомобилей.</w:t>
      </w:r>
    </w:p>
    <w:p w:rsidR="00A7123E" w:rsidRPr="00A7123E" w:rsidRDefault="00A7123E" w:rsidP="00A7123E">
      <w:pPr>
        <w:autoSpaceDE w:val="0"/>
        <w:autoSpaceDN w:val="0"/>
        <w:adjustRightInd w:val="0"/>
        <w:spacing w:line="276" w:lineRule="auto"/>
        <w:ind w:firstLine="709"/>
        <w:jc w:val="both"/>
        <w:outlineLvl w:val="0"/>
      </w:pPr>
      <w:r w:rsidRPr="00A7123E">
        <w:t>В целом, общими причинами неудовлетворительного состояния, как мостовых сооружений, так и дорог в целом,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w:t>
      </w:r>
    </w:p>
    <w:p w:rsidR="00A7123E" w:rsidRPr="00A7123E" w:rsidRDefault="00A7123E" w:rsidP="00A7123E">
      <w:pPr>
        <w:autoSpaceDE w:val="0"/>
        <w:autoSpaceDN w:val="0"/>
        <w:adjustRightInd w:val="0"/>
        <w:spacing w:line="276" w:lineRule="auto"/>
        <w:ind w:firstLine="709"/>
        <w:jc w:val="both"/>
        <w:outlineLvl w:val="0"/>
      </w:pPr>
      <w:r w:rsidRPr="00A7123E">
        <w:t>В настоящее время анализ технического состояния сети автомобильных дорог района позволяет отметить следующие недостатки:</w:t>
      </w:r>
    </w:p>
    <w:p w:rsidR="00A7123E" w:rsidRPr="00A7123E" w:rsidRDefault="00A7123E" w:rsidP="00A7123E">
      <w:pPr>
        <w:autoSpaceDE w:val="0"/>
        <w:autoSpaceDN w:val="0"/>
        <w:adjustRightInd w:val="0"/>
        <w:spacing w:line="276" w:lineRule="auto"/>
        <w:ind w:firstLine="709"/>
        <w:jc w:val="both"/>
        <w:outlineLvl w:val="0"/>
      </w:pPr>
      <w:r w:rsidRPr="00A7123E">
        <w:t>•</w:t>
      </w:r>
      <w:r w:rsidRPr="00A7123E">
        <w:tab/>
        <w:t>неравномерность распределения всей сети дорог по территории;</w:t>
      </w:r>
    </w:p>
    <w:p w:rsidR="00A7123E" w:rsidRPr="00A7123E" w:rsidRDefault="00A7123E" w:rsidP="00A7123E">
      <w:pPr>
        <w:autoSpaceDE w:val="0"/>
        <w:autoSpaceDN w:val="0"/>
        <w:adjustRightInd w:val="0"/>
        <w:spacing w:line="276" w:lineRule="auto"/>
        <w:ind w:firstLine="709"/>
        <w:jc w:val="both"/>
        <w:outlineLvl w:val="0"/>
      </w:pPr>
      <w:r w:rsidRPr="00A7123E">
        <w:t>•</w:t>
      </w:r>
      <w:r w:rsidRPr="00A7123E">
        <w:tab/>
        <w:t>отсутствие законченной опорной сети автомобильных дорог;</w:t>
      </w:r>
    </w:p>
    <w:p w:rsidR="00A7123E" w:rsidRPr="00A7123E" w:rsidRDefault="00A7123E" w:rsidP="00A7123E">
      <w:pPr>
        <w:autoSpaceDE w:val="0"/>
        <w:autoSpaceDN w:val="0"/>
        <w:adjustRightInd w:val="0"/>
        <w:spacing w:line="276" w:lineRule="auto"/>
        <w:ind w:firstLine="709"/>
        <w:jc w:val="both"/>
        <w:outlineLvl w:val="0"/>
      </w:pPr>
      <w:r w:rsidRPr="00A7123E">
        <w:t>•</w:t>
      </w:r>
      <w:r w:rsidRPr="00A7123E">
        <w:tab/>
        <w:t>наличие в сети дорог, особенно в западной части района, автозимников и грунтовых дорог;</w:t>
      </w:r>
    </w:p>
    <w:p w:rsidR="00A7123E" w:rsidRPr="00A7123E" w:rsidRDefault="00A7123E" w:rsidP="00A7123E">
      <w:pPr>
        <w:autoSpaceDE w:val="0"/>
        <w:autoSpaceDN w:val="0"/>
        <w:adjustRightInd w:val="0"/>
        <w:spacing w:line="276" w:lineRule="auto"/>
        <w:ind w:firstLine="709"/>
        <w:jc w:val="both"/>
        <w:outlineLvl w:val="0"/>
      </w:pPr>
      <w:r w:rsidRPr="00A7123E">
        <w:t>•</w:t>
      </w:r>
      <w:r w:rsidRPr="00A7123E">
        <w:tab/>
        <w:t>малая обеспеченность дорогами с усовершенствованным покрытием;</w:t>
      </w:r>
    </w:p>
    <w:p w:rsidR="00A7123E" w:rsidRPr="00A7123E" w:rsidRDefault="00A7123E" w:rsidP="00A7123E">
      <w:pPr>
        <w:autoSpaceDE w:val="0"/>
        <w:autoSpaceDN w:val="0"/>
        <w:adjustRightInd w:val="0"/>
        <w:spacing w:line="276" w:lineRule="auto"/>
        <w:ind w:firstLine="709"/>
        <w:jc w:val="both"/>
        <w:outlineLvl w:val="0"/>
      </w:pPr>
      <w:r w:rsidRPr="00A7123E">
        <w:t>•</w:t>
      </w:r>
      <w:r w:rsidRPr="00A7123E">
        <w:tab/>
        <w:t xml:space="preserve">отсутствие на отдельных дорогах автомобильного сервиса и необходимых обустройств. </w:t>
      </w:r>
    </w:p>
    <w:p w:rsidR="00A7123E" w:rsidRPr="00A7123E" w:rsidRDefault="00A7123E" w:rsidP="00A7123E">
      <w:pPr>
        <w:autoSpaceDE w:val="0"/>
        <w:autoSpaceDN w:val="0"/>
        <w:adjustRightInd w:val="0"/>
        <w:spacing w:line="276" w:lineRule="auto"/>
        <w:ind w:firstLine="709"/>
        <w:jc w:val="both"/>
        <w:outlineLvl w:val="0"/>
      </w:pPr>
      <w:r w:rsidRPr="00A7123E">
        <w:t>Протяженность автомобильных дорог общего пользования с твердым покрытием по Усть-Большерецкому району по состоянию на 01.07.2021 года составляет 232 км, в том числе из них протяженность дорог регионального значения – 208 км, удельный вес автомобильных дорог с твердым покрытием в общей протяженности автомобильных дорог общего пользования составляет 84,7%.</w:t>
      </w:r>
    </w:p>
    <w:p w:rsidR="00A7123E" w:rsidRPr="00A7123E" w:rsidRDefault="00A7123E" w:rsidP="00A7123E">
      <w:pPr>
        <w:spacing w:line="276" w:lineRule="auto"/>
        <w:ind w:firstLine="709"/>
        <w:jc w:val="both"/>
      </w:pPr>
      <w:r w:rsidRPr="00A7123E">
        <w:t>В настоящее время населению и организациям Усть-Большерецкого муниципального района Камчатские операторы связи предоставляются широкий набор услуг, таких как: Интернет, электронная почта, передача факсимильных и голосовых сообщений, передача файлов, работа с удаленными базами данных в режиме реального времени.</w:t>
      </w:r>
    </w:p>
    <w:p w:rsidR="00A7123E" w:rsidRPr="00A7123E" w:rsidRDefault="00A7123E" w:rsidP="00A7123E">
      <w:pPr>
        <w:spacing w:line="276" w:lineRule="auto"/>
        <w:ind w:firstLine="709"/>
        <w:jc w:val="both"/>
      </w:pPr>
      <w:r w:rsidRPr="00A7123E">
        <w:t xml:space="preserve">На территории Усть - Большерецкого муниципального района, услуги связи представлены компанией ПАО «Ростелеком» - это услуги по системам электросвязи, </w:t>
      </w:r>
      <w:r w:rsidRPr="00A7123E">
        <w:rPr>
          <w:lang w:val="en-US"/>
        </w:rPr>
        <w:t>IP</w:t>
      </w:r>
      <w:r w:rsidRPr="00A7123E">
        <w:t>-</w:t>
      </w:r>
      <w:r w:rsidRPr="00A7123E">
        <w:rPr>
          <w:lang w:val="en-US"/>
        </w:rPr>
        <w:t>TV</w:t>
      </w:r>
      <w:r w:rsidRPr="00A7123E">
        <w:t>, сотовой связи.</w:t>
      </w:r>
      <w:r w:rsidRPr="00A7123E">
        <w:rPr>
          <w:rFonts w:eastAsia="Calibri"/>
          <w:color w:val="030000"/>
          <w:sz w:val="28"/>
          <w:shd w:val="clear" w:color="auto" w:fill="FFFFFF"/>
          <w:lang w:eastAsia="en-US"/>
        </w:rPr>
        <w:t xml:space="preserve"> </w:t>
      </w:r>
      <w:r w:rsidRPr="00A7123E">
        <w:t>Продолжается тенденция снижения радиотрансляционных точек, что связано с применением новых технологий в системе проводного вещания.</w:t>
      </w:r>
    </w:p>
    <w:p w:rsidR="00A7123E" w:rsidRPr="00A7123E" w:rsidRDefault="00A7123E" w:rsidP="00A7123E">
      <w:pPr>
        <w:spacing w:line="276" w:lineRule="auto"/>
        <w:ind w:firstLine="709"/>
        <w:jc w:val="both"/>
      </w:pPr>
      <w:r w:rsidRPr="00A7123E">
        <w:t>Все более заметными на рынке услуг связи становятся услуги подвижной электросвязи, которая не только восполняет недостаток стационарных телефонов, но и предоставляет широкий спектр дополнительных услуг. На данном сегменте рынка предоставляют свои услуги следующие операторы связи: «Билайн», «МТС», «Мегафон», «Теле-2», «Ростелеком» с установкой необходимого оборудования и инфраструктуры для обслуживания населения. Вся территория района находится в зоне уверенного приема основных сотовых операторов. Уровень покрытия территории сетями сотовой связи достигает 100%.</w:t>
      </w:r>
      <w:r w:rsidRPr="00A7123E">
        <w:rPr>
          <w:rFonts w:eastAsia="Calibri"/>
          <w:color w:val="030000"/>
          <w:sz w:val="28"/>
          <w:shd w:val="clear" w:color="auto" w:fill="FFFFFF"/>
          <w:lang w:eastAsia="en-US"/>
        </w:rPr>
        <w:t xml:space="preserve"> </w:t>
      </w:r>
    </w:p>
    <w:p w:rsidR="00A7123E" w:rsidRPr="00A7123E" w:rsidRDefault="00A7123E" w:rsidP="00A7123E">
      <w:pPr>
        <w:spacing w:line="276" w:lineRule="auto"/>
        <w:ind w:firstLine="709"/>
        <w:jc w:val="both"/>
      </w:pPr>
      <w:r w:rsidRPr="00A7123E">
        <w:t>Основным оператором по оказанию услуг почтовой связи на территории Усть-Большерецкого муниципального района является ФГУП «Почта России». Услугами почтовой связи можно воспользоваться на территории п. Озерновский, п. Октябрьский, с. Усть-Большерецк, с. Кавалерское, с. Апача, с. Запорожье.</w:t>
      </w:r>
    </w:p>
    <w:p w:rsidR="00A7123E" w:rsidRPr="00A7123E" w:rsidRDefault="00A7123E" w:rsidP="00A7123E">
      <w:pPr>
        <w:shd w:val="clear" w:color="auto" w:fill="FFFFFF"/>
        <w:spacing w:before="5" w:line="276" w:lineRule="auto"/>
        <w:rPr>
          <w:b/>
          <w:i/>
          <w:iCs/>
        </w:rPr>
      </w:pPr>
    </w:p>
    <w:p w:rsidR="00A7123E" w:rsidRPr="00A7123E" w:rsidRDefault="00A7123E" w:rsidP="00A7123E">
      <w:pPr>
        <w:spacing w:line="276" w:lineRule="auto"/>
        <w:ind w:firstLine="567"/>
        <w:jc w:val="center"/>
        <w:rPr>
          <w:b/>
          <w:i/>
        </w:rPr>
      </w:pPr>
      <w:r w:rsidRPr="00A7123E">
        <w:rPr>
          <w:b/>
          <w:i/>
        </w:rPr>
        <w:t>Сельское хозяйство</w:t>
      </w:r>
    </w:p>
    <w:p w:rsidR="00A7123E" w:rsidRPr="00A7123E" w:rsidRDefault="00A7123E" w:rsidP="00A7123E">
      <w:pPr>
        <w:autoSpaceDE w:val="0"/>
        <w:autoSpaceDN w:val="0"/>
        <w:adjustRightInd w:val="0"/>
        <w:spacing w:line="276" w:lineRule="auto"/>
        <w:ind w:firstLine="709"/>
        <w:jc w:val="both"/>
        <w:outlineLvl w:val="0"/>
        <w:rPr>
          <w:bCs/>
        </w:rPr>
      </w:pPr>
      <w:r w:rsidRPr="00A7123E">
        <w:rPr>
          <w:bCs/>
        </w:rPr>
        <w:t xml:space="preserve">Сельскохозяйственное производство Усть-Большерецкого муниципального района функционирует в сложных природных и экономических условиях, предопределенных особенностями климата, географическим положением. В условиях района отрасль остается </w:t>
      </w:r>
      <w:r w:rsidRPr="00A7123E">
        <w:rPr>
          <w:bCs/>
        </w:rPr>
        <w:lastRenderedPageBreak/>
        <w:t>обеспечивающей, ее развитие направлено на повышение уровня продовольственной безопасности района и удовлетворение потребностей</w:t>
      </w:r>
      <w:r w:rsidRPr="00A7123E">
        <w:rPr>
          <w:bCs/>
        </w:rPr>
        <w:tab/>
        <w:t>населения в сельскохозяйственной продукции высокого качества: продукцией растениеводства (картофель и овощи открытого и закрытого грунта), продукцией животноводства (яйцо, молоко, мясо). Приоритетная цель функционирования сельского хозяйства – обеспечение населения Усть-Большерецкого муниципального района, в том числе детских учреждений и учреждений социальной сферы качественной продукцией местного производства.</w:t>
      </w:r>
    </w:p>
    <w:p w:rsidR="00A7123E" w:rsidRPr="00A7123E" w:rsidRDefault="00A7123E" w:rsidP="00A7123E">
      <w:pPr>
        <w:autoSpaceDE w:val="0"/>
        <w:autoSpaceDN w:val="0"/>
        <w:adjustRightInd w:val="0"/>
        <w:spacing w:line="276" w:lineRule="auto"/>
        <w:ind w:firstLine="709"/>
        <w:jc w:val="both"/>
        <w:outlineLvl w:val="0"/>
        <w:rPr>
          <w:bCs/>
        </w:rPr>
      </w:pPr>
      <w:r w:rsidRPr="00A7123E">
        <w:rPr>
          <w:bCs/>
        </w:rPr>
        <w:t>Производством сельскохозяйственной продукции в районе занимаются сельскохозяйственная артель «Апачинская», подсобное хозяйство ОАО «Озерновский РКЗ № 55», ООО «Романовское», 8 крестьянских (фермерских) хозяйств, индивидуальных предпринимателей и более чем 500 граждан, ведущих личные подсобные хозяйства.</w:t>
      </w:r>
    </w:p>
    <w:p w:rsidR="00A7123E" w:rsidRPr="00A7123E" w:rsidRDefault="00A7123E" w:rsidP="00A7123E">
      <w:pPr>
        <w:autoSpaceDE w:val="0"/>
        <w:autoSpaceDN w:val="0"/>
        <w:adjustRightInd w:val="0"/>
        <w:spacing w:line="276" w:lineRule="auto"/>
        <w:ind w:firstLine="709"/>
        <w:jc w:val="both"/>
        <w:outlineLvl w:val="0"/>
      </w:pPr>
      <w:r w:rsidRPr="00A7123E">
        <w:rPr>
          <w:bCs/>
        </w:rPr>
        <w:t xml:space="preserve">Выпуск продукции сельского хозяйства всеми сельскохозяйственными товаропроизводителями Усть-Большерецкого муниципального района в 2020 году составил 135,638 млн. рублей, </w:t>
      </w:r>
      <w:r w:rsidRPr="00A7123E">
        <w:t>в том числе по основным отраслям сельскохозяйственного производства:</w:t>
      </w:r>
    </w:p>
    <w:p w:rsidR="00A7123E" w:rsidRPr="00A7123E" w:rsidRDefault="00A7123E" w:rsidP="00A7123E">
      <w:pPr>
        <w:autoSpaceDE w:val="0"/>
        <w:autoSpaceDN w:val="0"/>
        <w:adjustRightInd w:val="0"/>
        <w:spacing w:line="276" w:lineRule="auto"/>
        <w:ind w:firstLine="709"/>
        <w:jc w:val="both"/>
        <w:outlineLvl w:val="0"/>
      </w:pPr>
      <w:r w:rsidRPr="00A7123E">
        <w:t>- продукция растениеводства – 43,585 млн. рублей;</w:t>
      </w:r>
    </w:p>
    <w:p w:rsidR="00A7123E" w:rsidRPr="00A7123E" w:rsidRDefault="00A7123E" w:rsidP="00A7123E">
      <w:pPr>
        <w:autoSpaceDE w:val="0"/>
        <w:autoSpaceDN w:val="0"/>
        <w:adjustRightInd w:val="0"/>
        <w:spacing w:line="276" w:lineRule="auto"/>
        <w:ind w:firstLine="709"/>
        <w:jc w:val="both"/>
        <w:outlineLvl w:val="0"/>
      </w:pPr>
      <w:r w:rsidRPr="00A7123E">
        <w:t>- продукция животноводства – 92,053 млн. рублей.</w:t>
      </w:r>
    </w:p>
    <w:p w:rsidR="00A7123E" w:rsidRPr="00A7123E" w:rsidRDefault="00A7123E" w:rsidP="00A7123E">
      <w:pPr>
        <w:autoSpaceDE w:val="0"/>
        <w:autoSpaceDN w:val="0"/>
        <w:adjustRightInd w:val="0"/>
        <w:spacing w:line="276" w:lineRule="auto"/>
        <w:ind w:firstLine="709"/>
        <w:jc w:val="both"/>
        <w:outlineLvl w:val="0"/>
      </w:pPr>
      <w:r w:rsidRPr="00A7123E">
        <w:t>Животноводство Усть-Большерецкого муниципального района представляет собой основной блок сельскохозяйственного производства. Объем продукции животноводства в структуре валового производства сельскохозяйственной продукции составляет 67,07 %.</w:t>
      </w:r>
    </w:p>
    <w:p w:rsidR="00A7123E" w:rsidRPr="00A7123E" w:rsidRDefault="00A7123E" w:rsidP="00A7123E">
      <w:pPr>
        <w:ind w:firstLine="709"/>
        <w:jc w:val="both"/>
      </w:pPr>
      <w:r w:rsidRPr="00A7123E">
        <w:t xml:space="preserve">Потребление молока и молочных продуктов населением ежегодно увеличивается, в основном, за счет увеличения его ввоза на территорию района. Процент </w:t>
      </w:r>
      <w:proofErr w:type="spellStart"/>
      <w:r w:rsidRPr="00A7123E">
        <w:t>самообеспечения</w:t>
      </w:r>
      <w:proofErr w:type="spellEnd"/>
      <w:r w:rsidRPr="00A7123E">
        <w:t xml:space="preserve"> молоком очень низок. Причиной низкого обеспечения населения молочной продукцией собственного производства является затянувшийся кризис в сельском хозяйстве, из-за которого произошло сокращение поголовья крупного рогатого скота, моральный и физический износ материально-технической базы животноводства.</w:t>
      </w:r>
    </w:p>
    <w:p w:rsidR="00A7123E" w:rsidRPr="00A7123E" w:rsidRDefault="00A7123E" w:rsidP="00A7123E">
      <w:pPr>
        <w:autoSpaceDE w:val="0"/>
        <w:autoSpaceDN w:val="0"/>
        <w:adjustRightInd w:val="0"/>
        <w:spacing w:line="276" w:lineRule="auto"/>
        <w:ind w:firstLine="709"/>
        <w:jc w:val="both"/>
        <w:outlineLvl w:val="0"/>
        <w:rPr>
          <w:rFonts w:eastAsiaTheme="minorEastAsia" w:cstheme="minorBidi"/>
        </w:rPr>
      </w:pPr>
      <w:r w:rsidRPr="00A7123E">
        <w:rPr>
          <w:rFonts w:eastAsiaTheme="minorEastAsia" w:cstheme="minorBidi"/>
        </w:rPr>
        <w:t xml:space="preserve">За 2020 год производство продукции животноводства по району составило: </w:t>
      </w:r>
    </w:p>
    <w:p w:rsidR="00A7123E" w:rsidRPr="00A7123E" w:rsidRDefault="00A7123E" w:rsidP="00A7123E">
      <w:pPr>
        <w:autoSpaceDE w:val="0"/>
        <w:autoSpaceDN w:val="0"/>
        <w:adjustRightInd w:val="0"/>
        <w:spacing w:line="276" w:lineRule="auto"/>
        <w:ind w:firstLine="709"/>
        <w:jc w:val="both"/>
        <w:outlineLvl w:val="0"/>
        <w:rPr>
          <w:rFonts w:eastAsiaTheme="minorEastAsia" w:cstheme="minorBidi"/>
        </w:rPr>
      </w:pPr>
      <w:r w:rsidRPr="00A7123E">
        <w:rPr>
          <w:rFonts w:eastAsiaTheme="minorEastAsia" w:cstheme="minorBidi"/>
        </w:rPr>
        <w:t>- мясо – 65,5 тонн, или 123 % к уровню 2019 года;</w:t>
      </w:r>
    </w:p>
    <w:p w:rsidR="00A7123E" w:rsidRPr="00A7123E" w:rsidRDefault="00A7123E" w:rsidP="00A7123E">
      <w:pPr>
        <w:autoSpaceDE w:val="0"/>
        <w:autoSpaceDN w:val="0"/>
        <w:adjustRightInd w:val="0"/>
        <w:spacing w:line="276" w:lineRule="auto"/>
        <w:ind w:firstLine="709"/>
        <w:jc w:val="both"/>
        <w:outlineLvl w:val="0"/>
        <w:rPr>
          <w:rFonts w:eastAsiaTheme="minorEastAsia" w:cstheme="minorBidi"/>
        </w:rPr>
      </w:pPr>
      <w:r w:rsidRPr="00A7123E">
        <w:rPr>
          <w:rFonts w:eastAsiaTheme="minorEastAsia" w:cstheme="minorBidi"/>
        </w:rPr>
        <w:t>- молоко – 803,4 тонны или 108,3 % к уровню 2019 года;</w:t>
      </w:r>
    </w:p>
    <w:p w:rsidR="00A7123E" w:rsidRPr="00A7123E" w:rsidRDefault="00A7123E" w:rsidP="00A7123E">
      <w:pPr>
        <w:autoSpaceDE w:val="0"/>
        <w:autoSpaceDN w:val="0"/>
        <w:adjustRightInd w:val="0"/>
        <w:spacing w:line="276" w:lineRule="auto"/>
        <w:ind w:firstLine="709"/>
        <w:jc w:val="both"/>
        <w:outlineLvl w:val="0"/>
        <w:rPr>
          <w:rFonts w:eastAsiaTheme="minorEastAsia" w:cstheme="minorBidi"/>
        </w:rPr>
      </w:pPr>
      <w:r w:rsidRPr="00A7123E">
        <w:rPr>
          <w:rFonts w:eastAsiaTheme="minorEastAsia" w:cstheme="minorBidi"/>
        </w:rPr>
        <w:t>- яйцо – 295,4 тыс. штук или 100,5 % к уровню 2019 года.</w:t>
      </w:r>
    </w:p>
    <w:p w:rsidR="00A7123E" w:rsidRPr="00A7123E" w:rsidRDefault="00A7123E" w:rsidP="00A7123E">
      <w:pPr>
        <w:autoSpaceDE w:val="0"/>
        <w:autoSpaceDN w:val="0"/>
        <w:adjustRightInd w:val="0"/>
        <w:spacing w:line="276" w:lineRule="auto"/>
        <w:ind w:firstLine="709"/>
        <w:jc w:val="both"/>
        <w:outlineLvl w:val="0"/>
        <w:rPr>
          <w:rFonts w:eastAsiaTheme="minorEastAsia" w:cstheme="minorBidi"/>
        </w:rPr>
      </w:pPr>
    </w:p>
    <w:p w:rsidR="00A7123E" w:rsidRPr="00A7123E" w:rsidRDefault="00A7123E" w:rsidP="00A7123E">
      <w:pPr>
        <w:autoSpaceDE w:val="0"/>
        <w:autoSpaceDN w:val="0"/>
        <w:adjustRightInd w:val="0"/>
        <w:spacing w:line="276" w:lineRule="auto"/>
        <w:ind w:firstLine="709"/>
        <w:jc w:val="center"/>
        <w:outlineLvl w:val="0"/>
        <w:rPr>
          <w:rFonts w:eastAsiaTheme="minorEastAsia" w:cstheme="minorBidi"/>
          <w:b/>
          <w:i/>
        </w:rPr>
      </w:pPr>
      <w:r w:rsidRPr="00A7123E">
        <w:rPr>
          <w:rFonts w:eastAsiaTheme="minorEastAsia" w:cstheme="minorBidi"/>
          <w:b/>
          <w:i/>
        </w:rPr>
        <w:t>Производство продукции животноводства</w:t>
      </w:r>
    </w:p>
    <w:p w:rsidR="00A7123E" w:rsidRPr="00A7123E" w:rsidRDefault="00A7123E" w:rsidP="00A7123E">
      <w:pPr>
        <w:autoSpaceDE w:val="0"/>
        <w:autoSpaceDN w:val="0"/>
        <w:adjustRightInd w:val="0"/>
        <w:spacing w:line="276" w:lineRule="auto"/>
        <w:ind w:firstLine="709"/>
        <w:jc w:val="center"/>
        <w:outlineLvl w:val="0"/>
        <w:rPr>
          <w:rFonts w:eastAsiaTheme="minorEastAsia" w:cstheme="minorBidi"/>
          <w:b/>
          <w:i/>
        </w:rPr>
      </w:pPr>
      <w:proofErr w:type="gramStart"/>
      <w:r w:rsidRPr="00A7123E">
        <w:rPr>
          <w:rFonts w:eastAsiaTheme="minorEastAsia" w:cstheme="minorBidi"/>
          <w:b/>
          <w:i/>
        </w:rPr>
        <w:t>в</w:t>
      </w:r>
      <w:proofErr w:type="gramEnd"/>
      <w:r w:rsidRPr="00A7123E">
        <w:rPr>
          <w:rFonts w:eastAsiaTheme="minorEastAsia" w:cstheme="minorBidi"/>
          <w:b/>
          <w:i/>
        </w:rPr>
        <w:t xml:space="preserve"> Усть-Большерецком муниципальном районе</w:t>
      </w:r>
    </w:p>
    <w:p w:rsidR="00A7123E" w:rsidRPr="00A7123E" w:rsidRDefault="00A7123E" w:rsidP="00A7123E">
      <w:pPr>
        <w:jc w:val="center"/>
        <w:rPr>
          <w:rFonts w:eastAsiaTheme="minorEastAsia" w:cstheme="minorBidi"/>
          <w:b/>
          <w:i/>
          <w:color w:val="548DD4"/>
        </w:rPr>
      </w:pPr>
      <w:r w:rsidRPr="00A7123E">
        <w:rPr>
          <w:rFonts w:eastAsiaTheme="minorEastAsia" w:cstheme="minorBidi"/>
          <w:b/>
          <w:i/>
          <w:noProof/>
          <w:color w:val="548DD4"/>
        </w:rPr>
        <w:drawing>
          <wp:inline distT="0" distB="0" distL="0" distR="0" wp14:anchorId="03950A7A" wp14:editId="07BF9363">
            <wp:extent cx="5343525" cy="180975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123E" w:rsidRPr="00A7123E" w:rsidRDefault="00A7123E" w:rsidP="00A7123E">
      <w:pPr>
        <w:jc w:val="center"/>
        <w:rPr>
          <w:rFonts w:eastAsiaTheme="minorEastAsia" w:cstheme="minorBidi"/>
          <w:b/>
          <w:i/>
        </w:rPr>
      </w:pPr>
    </w:p>
    <w:p w:rsidR="00A7123E" w:rsidRPr="00A7123E" w:rsidRDefault="00A7123E" w:rsidP="00A7123E">
      <w:pPr>
        <w:ind w:firstLine="708"/>
        <w:jc w:val="both"/>
        <w:rPr>
          <w:rFonts w:eastAsiaTheme="minorEastAsia" w:cstheme="minorBidi"/>
        </w:rPr>
      </w:pPr>
      <w:r w:rsidRPr="00A7123E">
        <w:rPr>
          <w:color w:val="000000"/>
        </w:rPr>
        <w:t>На 01 января 2021 года в хозяйствах всех категорий содержится:</w:t>
      </w:r>
    </w:p>
    <w:p w:rsidR="00A7123E" w:rsidRPr="00A7123E" w:rsidRDefault="00A7123E" w:rsidP="00A7123E">
      <w:pPr>
        <w:ind w:firstLine="709"/>
        <w:jc w:val="both"/>
        <w:rPr>
          <w:rFonts w:eastAsiaTheme="minorEastAsia" w:cstheme="minorBidi"/>
        </w:rPr>
      </w:pPr>
      <w:r w:rsidRPr="00A7123E">
        <w:rPr>
          <w:rFonts w:eastAsiaTheme="minorEastAsia" w:cstheme="minorBidi"/>
        </w:rPr>
        <w:t>- крупный рогатый скот – 456 голов или 104,3 % к уровню 2019 года (в том числе коровы – 190 голов или 104,3 % к уровню 2019 года);</w:t>
      </w:r>
    </w:p>
    <w:p w:rsidR="00A7123E" w:rsidRPr="00A7123E" w:rsidRDefault="00A7123E" w:rsidP="00A7123E">
      <w:pPr>
        <w:ind w:firstLine="709"/>
        <w:jc w:val="both"/>
        <w:rPr>
          <w:rFonts w:eastAsiaTheme="minorEastAsia" w:cstheme="minorBidi"/>
        </w:rPr>
      </w:pPr>
      <w:r w:rsidRPr="00A7123E">
        <w:rPr>
          <w:rFonts w:eastAsiaTheme="minorEastAsia" w:cstheme="minorBidi"/>
        </w:rPr>
        <w:t>- свиньи – 20 голов или 80 % к уровню 2019 года;</w:t>
      </w:r>
    </w:p>
    <w:p w:rsidR="00A7123E" w:rsidRPr="00A7123E" w:rsidRDefault="00A7123E" w:rsidP="00A7123E">
      <w:pPr>
        <w:ind w:firstLine="709"/>
        <w:jc w:val="both"/>
        <w:rPr>
          <w:rFonts w:eastAsiaTheme="minorEastAsia" w:cstheme="minorBidi"/>
        </w:rPr>
      </w:pPr>
      <w:r w:rsidRPr="00A7123E">
        <w:rPr>
          <w:rFonts w:eastAsiaTheme="minorEastAsia" w:cstheme="minorBidi"/>
        </w:rPr>
        <w:t>- лошади – 39 голов или 92,8 % к уровню 2019 года;</w:t>
      </w:r>
    </w:p>
    <w:p w:rsidR="00A7123E" w:rsidRPr="00A7123E" w:rsidRDefault="00A7123E" w:rsidP="00A7123E">
      <w:pPr>
        <w:ind w:firstLine="709"/>
        <w:jc w:val="both"/>
        <w:rPr>
          <w:rFonts w:eastAsiaTheme="minorEastAsia" w:cstheme="minorBidi"/>
        </w:rPr>
      </w:pPr>
      <w:r w:rsidRPr="00A7123E">
        <w:rPr>
          <w:rFonts w:eastAsiaTheme="minorEastAsia" w:cstheme="minorBidi"/>
        </w:rPr>
        <w:t>- овцы и козы – 139 голов или 78,5 % к уровню 2019 года.</w:t>
      </w:r>
    </w:p>
    <w:bookmarkEnd w:id="0"/>
    <w:p w:rsidR="00A7123E" w:rsidRPr="00A7123E" w:rsidRDefault="00A7123E" w:rsidP="00A7123E">
      <w:pPr>
        <w:ind w:firstLine="708"/>
        <w:jc w:val="both"/>
        <w:rPr>
          <w:color w:val="000000"/>
        </w:rPr>
      </w:pPr>
      <w:r w:rsidRPr="00A7123E">
        <w:lastRenderedPageBreak/>
        <w:t xml:space="preserve">Реализация мероприятий по реконструкции бытовых вспомогательных помещений и молочного блока позволила достичь следующих показателей: численность поголовья крупного рогатого скота в Сельскохозяйственной артели «Апачинская» увеличилась </w:t>
      </w:r>
      <w:r w:rsidRPr="00A7123E">
        <w:rPr>
          <w:color w:val="000000"/>
        </w:rPr>
        <w:t>на 34 головы (298 голов (120 коров) – 01.01.2020, 332 голов (135 коров – 01.01.2021).</w:t>
      </w:r>
    </w:p>
    <w:p w:rsidR="00A7123E" w:rsidRPr="00A7123E" w:rsidRDefault="00A7123E" w:rsidP="00A7123E">
      <w:pPr>
        <w:ind w:firstLine="708"/>
        <w:jc w:val="both"/>
      </w:pPr>
      <w:r w:rsidRPr="00A7123E">
        <w:t xml:space="preserve">Реализация мероприятий по реконструкции хлебопекарен позволила достичь следующих показателей: объем производства хлебобулочных изделий ООО «Орлан» за 2020 год составил 86,284 тонн, что на 8,207 тонн больше, чем за 2019 год (78,077тонны). Увеличение составило 9,6 %. </w:t>
      </w:r>
    </w:p>
    <w:p w:rsidR="00A7123E" w:rsidRPr="00A7123E" w:rsidRDefault="00A7123E" w:rsidP="00A7123E">
      <w:pPr>
        <w:autoSpaceDE w:val="0"/>
        <w:autoSpaceDN w:val="0"/>
        <w:adjustRightInd w:val="0"/>
        <w:spacing w:line="276" w:lineRule="auto"/>
        <w:ind w:firstLine="709"/>
        <w:jc w:val="both"/>
        <w:outlineLvl w:val="0"/>
      </w:pPr>
      <w:r w:rsidRPr="00A7123E">
        <w:t>Валовый сбор урожая сельскохозяйственных культур во всех категориях хозяйств за 2020 год составил 510,502 тонны, что на 97 тонн больше в сравнении с прошлым периодом (2019 год – 413,445тонны). Увеличение составило 123,5 %.</w:t>
      </w:r>
    </w:p>
    <w:p w:rsidR="00A7123E" w:rsidRPr="00A7123E" w:rsidRDefault="00A7123E" w:rsidP="00A7123E">
      <w:pPr>
        <w:autoSpaceDE w:val="0"/>
        <w:autoSpaceDN w:val="0"/>
        <w:adjustRightInd w:val="0"/>
        <w:spacing w:line="276" w:lineRule="auto"/>
        <w:ind w:firstLine="709"/>
        <w:jc w:val="both"/>
        <w:outlineLvl w:val="0"/>
      </w:pPr>
      <w:r w:rsidRPr="00A7123E">
        <w:t>Яйценоскость птиц в 2020 году составила 273,0 тыс. шт. в сравнении с 2019 (270,</w:t>
      </w:r>
      <w:proofErr w:type="gramStart"/>
      <w:r w:rsidRPr="00A7123E">
        <w:t>0  тыс.</w:t>
      </w:r>
      <w:proofErr w:type="gramEnd"/>
      <w:r w:rsidRPr="00A7123E">
        <w:t xml:space="preserve"> шт.) годом. Увеличение составило 3,0 тыс. штук.</w:t>
      </w:r>
    </w:p>
    <w:p w:rsidR="00A7123E" w:rsidRPr="00A7123E" w:rsidRDefault="00A7123E" w:rsidP="00A7123E">
      <w:pPr>
        <w:autoSpaceDE w:val="0"/>
        <w:autoSpaceDN w:val="0"/>
        <w:adjustRightInd w:val="0"/>
        <w:spacing w:line="276" w:lineRule="auto"/>
        <w:ind w:firstLine="709"/>
        <w:jc w:val="both"/>
        <w:outlineLvl w:val="0"/>
      </w:pPr>
      <w:r w:rsidRPr="00A7123E">
        <w:t>В целях продолжения развития сельскохозяйственного производства, пищевой и перерабатывающей промышленности, в рамках реализации муниципальной программы «Поддержка развития сельского хозяйства, пищевой и перерабатывающей промышленности в Усть-Большерецком муниципальном районе» Администрацией Усть-Большерецкого муниципального района в 2020 году реализованы следующие мероприятия:</w:t>
      </w:r>
    </w:p>
    <w:p w:rsidR="00A7123E" w:rsidRPr="00A7123E" w:rsidRDefault="00A7123E" w:rsidP="00A7123E">
      <w:pPr>
        <w:autoSpaceDE w:val="0"/>
        <w:autoSpaceDN w:val="0"/>
        <w:adjustRightInd w:val="0"/>
        <w:spacing w:line="276" w:lineRule="auto"/>
        <w:ind w:firstLine="709"/>
        <w:jc w:val="both"/>
        <w:outlineLvl w:val="0"/>
      </w:pPr>
      <w:r w:rsidRPr="00A7123E">
        <w:t xml:space="preserve">-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 Апача и с. Кавалерское;  </w:t>
      </w:r>
    </w:p>
    <w:p w:rsidR="00A7123E" w:rsidRPr="00A7123E" w:rsidRDefault="00A7123E" w:rsidP="00A7123E">
      <w:pPr>
        <w:autoSpaceDE w:val="0"/>
        <w:autoSpaceDN w:val="0"/>
        <w:adjustRightInd w:val="0"/>
        <w:spacing w:line="276" w:lineRule="auto"/>
        <w:ind w:firstLine="709"/>
        <w:jc w:val="both"/>
        <w:outlineLvl w:val="0"/>
      </w:pPr>
      <w:r w:rsidRPr="00A7123E">
        <w:t>- предоставление субсидий хлебопекарным предприятиям Усть-Большерецкого муниципального района на проведение реконструкции, капитального (текущего) ремонта хлебопекарни, приобретение, ремонт хлебопекарного оборудования.</w:t>
      </w:r>
    </w:p>
    <w:p w:rsidR="00A7123E" w:rsidRPr="00A7123E" w:rsidRDefault="00A7123E" w:rsidP="00A7123E">
      <w:pPr>
        <w:autoSpaceDE w:val="0"/>
        <w:autoSpaceDN w:val="0"/>
        <w:adjustRightInd w:val="0"/>
        <w:spacing w:line="276" w:lineRule="auto"/>
        <w:ind w:firstLine="709"/>
        <w:jc w:val="both"/>
        <w:outlineLvl w:val="0"/>
      </w:pPr>
      <w:r w:rsidRPr="00A7123E">
        <w:t>В период с 2013-2018 года из краевого и местного бюджетов на проведение реконструкции коровника на 400 голов в с. Апача были выделены средства в размере 23 240 020,40 рублей, а так же на завершение работ по восстановлению (реконструкции) бытовых вспомогательных помещений и молочного блока.</w:t>
      </w:r>
    </w:p>
    <w:p w:rsidR="00A7123E" w:rsidRPr="00A7123E" w:rsidRDefault="00A7123E" w:rsidP="00A7123E">
      <w:pPr>
        <w:autoSpaceDE w:val="0"/>
        <w:autoSpaceDN w:val="0"/>
        <w:adjustRightInd w:val="0"/>
        <w:spacing w:line="276" w:lineRule="auto"/>
        <w:ind w:firstLine="709"/>
        <w:jc w:val="both"/>
        <w:outlineLvl w:val="0"/>
      </w:pPr>
      <w:r w:rsidRPr="00A7123E">
        <w:t>Полное восстановление животноводческих помещений существенно повлияло на увеличение суточного удоя молока, а также дало возможность увеличения поголовья крупного рогатого скота и увеличение штатной численности работников хозяйств.</w:t>
      </w:r>
    </w:p>
    <w:p w:rsidR="00A7123E" w:rsidRPr="00A7123E" w:rsidRDefault="00A7123E" w:rsidP="00A7123E">
      <w:pPr>
        <w:autoSpaceDE w:val="0"/>
        <w:autoSpaceDN w:val="0"/>
        <w:adjustRightInd w:val="0"/>
        <w:spacing w:line="276" w:lineRule="auto"/>
        <w:ind w:firstLine="709"/>
        <w:jc w:val="both"/>
        <w:outlineLvl w:val="0"/>
      </w:pPr>
      <w:r w:rsidRPr="00A7123E">
        <w:t xml:space="preserve">Хлебопечение – сектор, в котором сегодня доминирует малый и средний бизнес.  Ведущими предприятиями хлебопекарной отрасли в Усть-Большерецком муниципальном районе являются: ООО «Витязь-Авто» и ООО «Орлан». </w:t>
      </w:r>
    </w:p>
    <w:p w:rsidR="00A7123E" w:rsidRPr="00A7123E" w:rsidRDefault="00A7123E" w:rsidP="00A7123E">
      <w:pPr>
        <w:autoSpaceDE w:val="0"/>
        <w:autoSpaceDN w:val="0"/>
        <w:adjustRightInd w:val="0"/>
        <w:spacing w:line="276" w:lineRule="auto"/>
        <w:ind w:firstLine="709"/>
        <w:jc w:val="both"/>
        <w:outlineLvl w:val="0"/>
      </w:pPr>
      <w:r w:rsidRPr="00A7123E">
        <w:t>Так, в рамках муниципальной программы «Поддержка развития сельского хозяйства, пищевой и перерабатывающей промышленности в Усть-Большерецком муниципальном районе ООО «Орлан» была выделена субсидия на поддержку развития пищевой и перерабатывающей промышленности, в том числе на развитие хлебопекарного производства в Усть-Большерецком муниципальном районе на общую сумму 21 962 700 рублей за счет средств краевого и местного бюджетов.</w:t>
      </w:r>
    </w:p>
    <w:p w:rsidR="00A7123E" w:rsidRPr="00A7123E" w:rsidRDefault="00A7123E" w:rsidP="00A7123E">
      <w:pPr>
        <w:autoSpaceDE w:val="0"/>
        <w:autoSpaceDN w:val="0"/>
        <w:adjustRightInd w:val="0"/>
        <w:spacing w:line="276" w:lineRule="auto"/>
        <w:ind w:firstLine="709"/>
        <w:jc w:val="both"/>
        <w:outlineLvl w:val="0"/>
      </w:pPr>
      <w:r w:rsidRPr="00A7123E">
        <w:t>Реализация мероприятий по реконструкции хлебопекарен позволила достичь следующих показателей: объем производства хлебобулочных изделий ООО «Орлан» за 2020 год составил 85,81 тонн, что на 7,735 тонн больше, чем за 2019 год (78,077 тонн</w:t>
      </w:r>
      <w:proofErr w:type="gramStart"/>
      <w:r w:rsidRPr="00A7123E">
        <w:t>)..</w:t>
      </w:r>
      <w:proofErr w:type="gramEnd"/>
      <w:r w:rsidRPr="00A7123E">
        <w:t xml:space="preserve"> В растениеводстве наблюдается ежегодное изменение объемов производства продукции, которые зависят как от погодных условий, так и от колебаний потребительского спроса на продукцию и ограниченным рынком сбыта.</w:t>
      </w:r>
    </w:p>
    <w:p w:rsidR="00A7123E" w:rsidRPr="00A7123E" w:rsidRDefault="00A7123E" w:rsidP="00A7123E">
      <w:pPr>
        <w:autoSpaceDE w:val="0"/>
        <w:autoSpaceDN w:val="0"/>
        <w:adjustRightInd w:val="0"/>
        <w:spacing w:line="276" w:lineRule="auto"/>
        <w:ind w:firstLine="709"/>
        <w:jc w:val="both"/>
        <w:outlineLvl w:val="0"/>
      </w:pPr>
      <w:r w:rsidRPr="00A7123E">
        <w:lastRenderedPageBreak/>
        <w:t>В 2020 году в обороте хозяйств всех категорий находилось 1 397,74 га посевных площадей сельскохозяйственных культур (98,3% к уровню 2019 года – 1 421,08 га), в том числе 1 366,4 га занято кормовыми культурами; 22,24 га – посевами картофеля; 9,09 га – овощами.</w:t>
      </w:r>
    </w:p>
    <w:p w:rsidR="00A7123E" w:rsidRPr="00A7123E" w:rsidRDefault="00A7123E" w:rsidP="00A7123E">
      <w:pPr>
        <w:autoSpaceDE w:val="0"/>
        <w:autoSpaceDN w:val="0"/>
        <w:adjustRightInd w:val="0"/>
        <w:spacing w:line="276" w:lineRule="auto"/>
        <w:ind w:firstLine="709"/>
        <w:jc w:val="both"/>
        <w:outlineLvl w:val="0"/>
      </w:pPr>
      <w:r w:rsidRPr="00A7123E">
        <w:t>Помимо этого в рамках реализации мероприятий вышеуказанной программы за счет средств местного бюджета были организованны пункты искусственного осеменения крупного рогатого скота в с. Апача и с. Кавалерское.</w:t>
      </w:r>
    </w:p>
    <w:p w:rsidR="00A7123E" w:rsidRPr="00A7123E" w:rsidRDefault="00A7123E" w:rsidP="00A7123E">
      <w:pPr>
        <w:autoSpaceDE w:val="0"/>
        <w:autoSpaceDN w:val="0"/>
        <w:adjustRightInd w:val="0"/>
        <w:spacing w:line="276" w:lineRule="auto"/>
        <w:ind w:firstLine="709"/>
        <w:jc w:val="both"/>
        <w:outlineLvl w:val="0"/>
      </w:pPr>
      <w:r w:rsidRPr="00A7123E">
        <w:t xml:space="preserve">По оценке в 2021 году валовая продукция сельского хозяйства в сопоставимых ценах увеличится на 2,9 % и составит 147,6 млн. рублей.  </w:t>
      </w:r>
    </w:p>
    <w:p w:rsidR="00A7123E" w:rsidRPr="00A7123E" w:rsidRDefault="00A7123E" w:rsidP="00A7123E">
      <w:pPr>
        <w:autoSpaceDE w:val="0"/>
        <w:autoSpaceDN w:val="0"/>
        <w:adjustRightInd w:val="0"/>
        <w:spacing w:line="276" w:lineRule="auto"/>
        <w:ind w:firstLine="709"/>
        <w:jc w:val="both"/>
        <w:outlineLvl w:val="0"/>
      </w:pPr>
      <w:r w:rsidRPr="00A7123E">
        <w:t>Что касается прогнозируемого периода, то эти годы характеризуются умеренным, но стабильным ростом, как объемов производства в сельскохозяйственных организациях, так и в подсобных (ЛПХ) и крестьянские фермерские хозяйства.</w:t>
      </w:r>
    </w:p>
    <w:p w:rsidR="00A7123E" w:rsidRPr="00A7123E" w:rsidRDefault="00A7123E" w:rsidP="00A7123E">
      <w:pPr>
        <w:autoSpaceDE w:val="0"/>
        <w:autoSpaceDN w:val="0"/>
        <w:adjustRightInd w:val="0"/>
        <w:spacing w:line="276" w:lineRule="auto"/>
        <w:ind w:firstLine="709"/>
        <w:jc w:val="both"/>
        <w:outlineLvl w:val="0"/>
      </w:pPr>
    </w:p>
    <w:p w:rsidR="00A7123E" w:rsidRPr="00A7123E" w:rsidRDefault="00A7123E" w:rsidP="00A7123E">
      <w:pPr>
        <w:tabs>
          <w:tab w:val="left" w:pos="615"/>
        </w:tabs>
        <w:autoSpaceDE w:val="0"/>
        <w:autoSpaceDN w:val="0"/>
        <w:adjustRightInd w:val="0"/>
        <w:spacing w:line="276" w:lineRule="auto"/>
        <w:ind w:firstLine="709"/>
        <w:jc w:val="center"/>
        <w:outlineLvl w:val="0"/>
        <w:rPr>
          <w:b/>
          <w:bCs/>
          <w:i/>
        </w:rPr>
      </w:pPr>
      <w:r w:rsidRPr="00A7123E">
        <w:rPr>
          <w:b/>
          <w:bCs/>
          <w:i/>
        </w:rPr>
        <w:t>Потребительский рынок</w:t>
      </w:r>
    </w:p>
    <w:p w:rsidR="00A7123E" w:rsidRPr="00A7123E" w:rsidRDefault="00A7123E" w:rsidP="00A7123E">
      <w:pPr>
        <w:pStyle w:val="2"/>
        <w:spacing w:after="0" w:line="276" w:lineRule="auto"/>
        <w:ind w:left="0" w:firstLine="709"/>
        <w:jc w:val="both"/>
      </w:pPr>
      <w:r w:rsidRPr="00A7123E">
        <w:t>Оборот розничной торговли в 2020 составил 99,2 % к 2019 году.</w:t>
      </w:r>
    </w:p>
    <w:p w:rsidR="00A7123E" w:rsidRPr="00A7123E" w:rsidRDefault="00A7123E" w:rsidP="00A7123E">
      <w:pPr>
        <w:suppressAutoHyphens/>
        <w:ind w:firstLine="709"/>
        <w:jc w:val="both"/>
      </w:pPr>
      <w:r w:rsidRPr="00A7123E">
        <w:t xml:space="preserve">В связи с реализацией на территории Усть-Большерецкого муниципального района комплекса ограничительных и иных мероприятий, направленных на обеспечение санитарно-эпидемиологического благополучия населения в связи с угрозой распространения </w:t>
      </w:r>
      <w:proofErr w:type="spellStart"/>
      <w:r w:rsidRPr="00A7123E">
        <w:t>короновирусной</w:t>
      </w:r>
      <w:proofErr w:type="spellEnd"/>
      <w:r w:rsidRPr="00A7123E">
        <w:t xml:space="preserve"> инфекции (СО</w:t>
      </w:r>
      <w:r w:rsidRPr="00A7123E">
        <w:rPr>
          <w:lang w:val="en-US"/>
        </w:rPr>
        <w:t>VID</w:t>
      </w:r>
      <w:r w:rsidRPr="00A7123E">
        <w:t>-19) в период с 01 апреля 2020 года по 30 июня 2020 года:</w:t>
      </w:r>
    </w:p>
    <w:p w:rsidR="00A7123E" w:rsidRPr="00A7123E" w:rsidRDefault="00A7123E" w:rsidP="00A7123E">
      <w:pPr>
        <w:suppressAutoHyphens/>
        <w:ind w:firstLine="709"/>
        <w:jc w:val="both"/>
      </w:pPr>
      <w:r w:rsidRPr="00A7123E">
        <w:t xml:space="preserve">с 01 апреля 2020 года по 30 июня 2020 года установлено значение корректирующего коэффициента базовой доходности К_2,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 </w:t>
      </w:r>
    </w:p>
    <w:p w:rsidR="00A7123E" w:rsidRPr="00A7123E" w:rsidRDefault="00A7123E" w:rsidP="00A7123E">
      <w:pPr>
        <w:suppressAutoHyphens/>
        <w:ind w:firstLine="709"/>
        <w:jc w:val="both"/>
      </w:pPr>
      <w:proofErr w:type="gramStart"/>
      <w:r w:rsidRPr="00A7123E">
        <w:t>с</w:t>
      </w:r>
      <w:proofErr w:type="gramEnd"/>
      <w:r w:rsidRPr="00A7123E">
        <w:t xml:space="preserve"> 1 апреля 2020 года по 30 июня 2020 года приостановлено значения корректирующего коэффициента базовой доходности К_2, установленного приложением к Решению Думы Усть-Большерецкого муниципального района от 23.09.2013 № 145 «О системе налогообложения в виде единого налога на вмененный доход для отдельных видов деятельности на территории Усть-Большерецкого муниципального района».</w:t>
      </w:r>
    </w:p>
    <w:p w:rsidR="00A7123E" w:rsidRPr="00A7123E" w:rsidRDefault="00A7123E" w:rsidP="00A7123E">
      <w:pPr>
        <w:ind w:firstLine="709"/>
        <w:jc w:val="both"/>
      </w:pPr>
      <w:r w:rsidRPr="00A7123E">
        <w:t xml:space="preserve">Думой Усть-Большерецкого муниципального района принято Решение от 16.06.2020 года № 308 «Об особенностях применения Решения от 23.09.2013 № 145 «О системе налогообложения в виде единого налога на вмененный доход для отдельных видов деятельности на территории Усть-Большерецкого муниципального района» (с изменениями от 25.11.2016 № 111) в период с 01 апреля 2020 по 30 июня 2020 года» (далее – Проект Решения) вынесен на рассмотрение Думы Усть-Большерецкого муниципального района в соответствии со ст.346.26-346.33 Главы 26.3 Налогового кодекса Российской Федерации, Распоряжением Губернатора Камчатского края от 03.04.2020№ 355-Р, а также в связи с реализацией на территории Усть-Большерецкого муниципального района комплекса ограничительных и иных мероприятий, направленных на обеспечение санитарно-эпидемиологического благополучия населения в связи с угрозой распространения </w:t>
      </w:r>
      <w:proofErr w:type="spellStart"/>
      <w:r w:rsidRPr="00A7123E">
        <w:t>короновирусной</w:t>
      </w:r>
      <w:proofErr w:type="spellEnd"/>
      <w:r w:rsidRPr="00A7123E">
        <w:t xml:space="preserve"> инфекции (</w:t>
      </w:r>
      <w:r w:rsidRPr="00A7123E">
        <w:rPr>
          <w:lang w:val="en-US"/>
        </w:rPr>
        <w:t>COVID</w:t>
      </w:r>
      <w:r w:rsidRPr="00A7123E">
        <w:t>-19) во втором квартале 2020 года.</w:t>
      </w:r>
    </w:p>
    <w:p w:rsidR="00A7123E" w:rsidRPr="00A7123E" w:rsidRDefault="00A7123E" w:rsidP="00A7123E">
      <w:pPr>
        <w:ind w:firstLine="709"/>
        <w:jc w:val="both"/>
      </w:pPr>
      <w:r w:rsidRPr="00A7123E">
        <w:t xml:space="preserve">Решение предусматривало снижение в период с 01 апреля 2020 по 30 июня 2020 года значения корректирующего коэффициента базовой доходности К_2,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 при применении системы </w:t>
      </w:r>
      <w:r w:rsidRPr="00A7123E">
        <w:lastRenderedPageBreak/>
        <w:t>налогообложения в виде единого налога на вмененный доход для отдельных видов деятельности (далее –ЕНВД).</w:t>
      </w:r>
    </w:p>
    <w:p w:rsidR="00A7123E" w:rsidRPr="00A7123E" w:rsidRDefault="00A7123E" w:rsidP="00A7123E">
      <w:pPr>
        <w:pStyle w:val="2"/>
        <w:spacing w:after="0" w:line="276" w:lineRule="auto"/>
        <w:ind w:left="0" w:firstLine="709"/>
        <w:jc w:val="both"/>
      </w:pPr>
      <w:r w:rsidRPr="00A7123E">
        <w:t>В 2021 году оборот розничной торговли, по оценке, с учетом ожидаемых параметров инфляции, сложившейся динамики реальных располагаемых доходов населения, по сравнению с прошлым годом, уменьшится на 0,92 млн. рублей и составит 185,45 млн. рублей.</w:t>
      </w:r>
    </w:p>
    <w:p w:rsidR="00A7123E" w:rsidRPr="00A7123E" w:rsidRDefault="00A7123E" w:rsidP="00A7123E">
      <w:pPr>
        <w:pStyle w:val="2"/>
        <w:spacing w:after="0" w:line="276" w:lineRule="auto"/>
        <w:ind w:left="0" w:firstLine="709"/>
        <w:jc w:val="both"/>
      </w:pPr>
      <w:r w:rsidRPr="00A7123E">
        <w:t>По мере роста доходов населения, снижения инфляционного давления, дальнейшего насыщения рынка товарами как отечественного, так и импортного производства, динамика потребления населением будет восстанавливаться и темп роста оборота розничной торговли в 2022 году по первому варианту прогноза возрастет на 1,5 % и составит 201,00 млн. рублей. В последующие два года, в случае сохранения положительной динамики реальных денежных доходов населения, восстановления потребительской активности прогнозируемый ежегодный прирост физического объема оборота розничной торговли по первому варианту составит 1,5 %, в условиях второго варианта 2,0 % - 2,5 %.</w:t>
      </w:r>
    </w:p>
    <w:p w:rsidR="00A7123E" w:rsidRPr="00A7123E" w:rsidRDefault="00A7123E" w:rsidP="00A7123E">
      <w:pPr>
        <w:pStyle w:val="2"/>
        <w:spacing w:after="0" w:line="276" w:lineRule="auto"/>
        <w:ind w:left="0" w:firstLine="709"/>
        <w:jc w:val="both"/>
      </w:pPr>
      <w:r w:rsidRPr="00A7123E">
        <w:t xml:space="preserve">Оборот общественного питания в 2020 году относительно уровня предшествующего года составил 62,8 %. </w:t>
      </w:r>
    </w:p>
    <w:p w:rsidR="00A7123E" w:rsidRPr="00A7123E" w:rsidRDefault="00A7123E" w:rsidP="00A7123E">
      <w:pPr>
        <w:pStyle w:val="2"/>
        <w:spacing w:after="0" w:line="276" w:lineRule="auto"/>
        <w:ind w:left="0" w:firstLine="709"/>
        <w:jc w:val="both"/>
      </w:pPr>
      <w:r w:rsidRPr="00A7123E">
        <w:t xml:space="preserve">Услуги общественного питания населению Усть-Большерецкого муниципального района предоставляются 5 предприятиями общественного питания, рассчитанные на 194 посадочных места. </w:t>
      </w:r>
    </w:p>
    <w:p w:rsidR="00A7123E" w:rsidRPr="00A7123E" w:rsidRDefault="00A7123E" w:rsidP="00A7123E">
      <w:pPr>
        <w:pStyle w:val="2"/>
        <w:spacing w:after="0" w:line="276" w:lineRule="auto"/>
        <w:ind w:left="0" w:firstLine="709"/>
        <w:jc w:val="both"/>
      </w:pPr>
      <w:r w:rsidRPr="00A7123E">
        <w:t>Объем оборота общественного питания в 2020 году в сопоставимых ценах составил 6 567,10 тыс. руб.</w:t>
      </w:r>
    </w:p>
    <w:p w:rsidR="00A7123E" w:rsidRPr="00A7123E" w:rsidRDefault="00A7123E" w:rsidP="00A7123E">
      <w:pPr>
        <w:pStyle w:val="2"/>
        <w:spacing w:after="0" w:line="276" w:lineRule="auto"/>
        <w:ind w:left="0" w:firstLine="709"/>
        <w:jc w:val="both"/>
      </w:pPr>
      <w:r w:rsidRPr="00A7123E">
        <w:t>В прогнозном периоде рынок общественного питания будет развиваться сдержанными темпами и составит от 97,0 % до 105,5 %. По мере роста денежных доходов населения, снижения уровня инфляции оборот общественного питания будет расти и к 2024 году приобретет положительную динамику.</w:t>
      </w:r>
    </w:p>
    <w:p w:rsidR="00A7123E" w:rsidRPr="00A7123E" w:rsidRDefault="00A7123E" w:rsidP="00A7123E">
      <w:pPr>
        <w:pStyle w:val="31"/>
        <w:spacing w:after="0" w:line="276" w:lineRule="auto"/>
        <w:ind w:left="0" w:firstLine="709"/>
        <w:jc w:val="both"/>
        <w:rPr>
          <w:sz w:val="24"/>
          <w:szCs w:val="24"/>
        </w:rPr>
      </w:pPr>
      <w:r w:rsidRPr="00A7123E">
        <w:rPr>
          <w:sz w:val="24"/>
          <w:szCs w:val="24"/>
        </w:rPr>
        <w:t>За 2020 год населению района было оказано платных услуг по всем каналам реализации на 88,866 млн. рублей, что составило 54,4% к уровню 2019 года в сопоставимых ценах.</w:t>
      </w:r>
    </w:p>
    <w:p w:rsidR="00A7123E" w:rsidRPr="00A7123E" w:rsidRDefault="00A7123E" w:rsidP="00A7123E">
      <w:pPr>
        <w:pStyle w:val="31"/>
        <w:spacing w:after="0" w:line="276" w:lineRule="auto"/>
        <w:ind w:left="0" w:firstLine="709"/>
        <w:jc w:val="both"/>
        <w:rPr>
          <w:sz w:val="24"/>
          <w:szCs w:val="24"/>
        </w:rPr>
      </w:pPr>
      <w:r w:rsidRPr="00A7123E">
        <w:rPr>
          <w:sz w:val="24"/>
          <w:szCs w:val="24"/>
        </w:rPr>
        <w:t>Основное влияние на формирование реального объема платных услуг оказывают услуги «обязательного» характера: жилищные и коммунальные. Совокупная доля этих видов услуг составила в 2020 году 93,5 % общего объема потребляемых услуг.</w:t>
      </w:r>
    </w:p>
    <w:p w:rsidR="00A7123E" w:rsidRPr="00A7123E" w:rsidRDefault="00A7123E" w:rsidP="00A7123E">
      <w:pPr>
        <w:pStyle w:val="31"/>
        <w:spacing w:after="0" w:line="276" w:lineRule="auto"/>
        <w:ind w:left="0" w:firstLine="709"/>
        <w:jc w:val="both"/>
        <w:rPr>
          <w:sz w:val="24"/>
          <w:szCs w:val="24"/>
        </w:rPr>
      </w:pPr>
      <w:r w:rsidRPr="00A7123E">
        <w:rPr>
          <w:sz w:val="24"/>
          <w:szCs w:val="24"/>
        </w:rPr>
        <w:t>Объем платных услуг в 2020 году оценивается в размере 88,87 млн. рублей, или 54,4 % в сопоставимых ценах к уровню 2019 года.</w:t>
      </w:r>
    </w:p>
    <w:p w:rsidR="00A7123E" w:rsidRPr="00A7123E" w:rsidRDefault="00A7123E" w:rsidP="00A7123E">
      <w:pPr>
        <w:pStyle w:val="31"/>
        <w:spacing w:after="0" w:line="276" w:lineRule="auto"/>
        <w:ind w:left="0" w:firstLine="709"/>
        <w:jc w:val="both"/>
        <w:rPr>
          <w:sz w:val="24"/>
          <w:szCs w:val="24"/>
        </w:rPr>
      </w:pPr>
      <w:r w:rsidRPr="00A7123E">
        <w:rPr>
          <w:sz w:val="24"/>
          <w:szCs w:val="24"/>
        </w:rPr>
        <w:t xml:space="preserve">Возможность развития сферы платных услуг обусловлены состоянием экономического потенциала, реальных денежных доходов населения, темпами инфляции. Объем платных услуг в 2022 году прогнозируется, по первому варианту, на уровне 105,45 млн. рублей (111,2 % в сопоставимых ценах к оценке 2021 года). </w:t>
      </w:r>
    </w:p>
    <w:p w:rsidR="00A7123E" w:rsidRPr="00A7123E" w:rsidRDefault="00A7123E" w:rsidP="00A7123E">
      <w:pPr>
        <w:pStyle w:val="31"/>
        <w:spacing w:after="0" w:line="276" w:lineRule="auto"/>
        <w:ind w:left="0" w:firstLine="709"/>
        <w:jc w:val="both"/>
        <w:rPr>
          <w:sz w:val="24"/>
          <w:szCs w:val="24"/>
        </w:rPr>
      </w:pPr>
      <w:r w:rsidRPr="00A7123E">
        <w:rPr>
          <w:sz w:val="24"/>
          <w:szCs w:val="24"/>
        </w:rPr>
        <w:t>В расчете на одного жителя района объем платных услуг в 2021 году прогнозируется, по первому варианту 34,3 тыс. рублей, по второму варианту – 34,4 тыс. рублей.</w:t>
      </w:r>
    </w:p>
    <w:p w:rsidR="00A7123E" w:rsidRPr="00A7123E" w:rsidRDefault="00A7123E" w:rsidP="00A7123E">
      <w:pPr>
        <w:pStyle w:val="31"/>
        <w:spacing w:after="0" w:line="276" w:lineRule="auto"/>
        <w:ind w:left="0" w:firstLine="709"/>
        <w:jc w:val="both"/>
        <w:rPr>
          <w:sz w:val="24"/>
          <w:szCs w:val="24"/>
        </w:rPr>
      </w:pPr>
      <w:r w:rsidRPr="00A7123E">
        <w:rPr>
          <w:sz w:val="24"/>
          <w:szCs w:val="24"/>
        </w:rPr>
        <w:t>Объем платных услуг по всем каналам реализации прогнозируется в 2022 году на уровне 106,7 % в сопоставимой оценке к уровню 2021 года в объеме 105,45 млн. рублей (по первому варианту), и 100 % в объеме 105,45 млн. рублей (по второму варианту). В 2023 году – 109,85 млн. рублей (104,17 % в сопоставимых оценке к уровню 2022 года), по первому варианту прогноза, и 109,85 млн. рублей по второму варианту (104,5 % в сопоставимых оценке к уровню 2022 года).</w:t>
      </w:r>
    </w:p>
    <w:p w:rsidR="00A7123E" w:rsidRPr="00A7123E" w:rsidRDefault="00A7123E" w:rsidP="00A7123E">
      <w:pPr>
        <w:pStyle w:val="31"/>
        <w:spacing w:after="0" w:line="276" w:lineRule="auto"/>
        <w:ind w:left="0" w:firstLine="709"/>
        <w:jc w:val="both"/>
        <w:rPr>
          <w:sz w:val="24"/>
          <w:szCs w:val="24"/>
        </w:rPr>
      </w:pPr>
    </w:p>
    <w:p w:rsidR="00A7123E" w:rsidRPr="00A7123E" w:rsidRDefault="00A7123E" w:rsidP="00A7123E">
      <w:pPr>
        <w:pStyle w:val="ab"/>
        <w:spacing w:line="276" w:lineRule="auto"/>
        <w:ind w:firstLine="708"/>
        <w:rPr>
          <w:i/>
          <w:sz w:val="24"/>
          <w:szCs w:val="24"/>
        </w:rPr>
      </w:pPr>
      <w:r w:rsidRPr="00A7123E">
        <w:rPr>
          <w:i/>
          <w:sz w:val="24"/>
          <w:szCs w:val="24"/>
        </w:rPr>
        <w:t>Малое и среднее предпринимательство</w:t>
      </w:r>
    </w:p>
    <w:p w:rsidR="00A7123E" w:rsidRPr="00A7123E" w:rsidRDefault="00A7123E" w:rsidP="00A7123E">
      <w:pPr>
        <w:pStyle w:val="ab"/>
        <w:spacing w:line="276" w:lineRule="auto"/>
        <w:ind w:firstLine="708"/>
        <w:jc w:val="both"/>
        <w:rPr>
          <w:b w:val="0"/>
          <w:sz w:val="24"/>
          <w:szCs w:val="24"/>
        </w:rPr>
      </w:pPr>
      <w:r w:rsidRPr="00A7123E">
        <w:rPr>
          <w:b w:val="0"/>
          <w:sz w:val="24"/>
          <w:szCs w:val="24"/>
        </w:rPr>
        <w:t>Малый и средний бизнес создает благоприятные условия для оздоровления экономики: развивается конкурентная среда; создаются дополнительные рабочие места; расширяется потребительский сектор. Развитие малых предприятий ведет к насыщению рынка товарами и услугами и использованию местных сырьевых ресурсов.</w:t>
      </w:r>
    </w:p>
    <w:p w:rsidR="00A7123E" w:rsidRPr="00A7123E" w:rsidRDefault="00A7123E" w:rsidP="00A7123E">
      <w:pPr>
        <w:shd w:val="clear" w:color="auto" w:fill="FFFFFF" w:themeFill="background1"/>
        <w:ind w:firstLine="709"/>
        <w:jc w:val="both"/>
      </w:pPr>
      <w:r w:rsidRPr="00A7123E">
        <w:lastRenderedPageBreak/>
        <w:t xml:space="preserve">Всего по состоянию на 01.01.2021 года по данным статистики на территории Усть-Большерецкого муниципального района зарегистрировано 161 </w:t>
      </w:r>
      <w:proofErr w:type="spellStart"/>
      <w:r w:rsidRPr="00A7123E">
        <w:t>индивидуальныхй</w:t>
      </w:r>
      <w:proofErr w:type="spellEnd"/>
      <w:r w:rsidRPr="00A7123E">
        <w:t xml:space="preserve"> предприниматель, что на 10 % меньше, чем на 01.01.2020.</w:t>
      </w:r>
    </w:p>
    <w:p w:rsidR="00A7123E" w:rsidRPr="00A7123E" w:rsidRDefault="00A7123E" w:rsidP="00A7123E">
      <w:pPr>
        <w:pStyle w:val="ab"/>
        <w:spacing w:line="276" w:lineRule="auto"/>
        <w:ind w:firstLine="708"/>
        <w:jc w:val="both"/>
        <w:rPr>
          <w:b w:val="0"/>
          <w:sz w:val="24"/>
          <w:szCs w:val="24"/>
        </w:rPr>
      </w:pPr>
      <w:r w:rsidRPr="00A7123E">
        <w:rPr>
          <w:b w:val="0"/>
          <w:sz w:val="24"/>
          <w:szCs w:val="24"/>
        </w:rPr>
        <w:t xml:space="preserve">Среднесписочная численность работников (без внешних совместителей) по малым (включая </w:t>
      </w:r>
      <w:proofErr w:type="spellStart"/>
      <w:r w:rsidRPr="00A7123E">
        <w:rPr>
          <w:b w:val="0"/>
          <w:sz w:val="24"/>
          <w:szCs w:val="24"/>
        </w:rPr>
        <w:t>микропредприятия</w:t>
      </w:r>
      <w:proofErr w:type="spellEnd"/>
      <w:r w:rsidRPr="00A7123E">
        <w:rPr>
          <w:b w:val="0"/>
          <w:sz w:val="24"/>
          <w:szCs w:val="24"/>
        </w:rPr>
        <w:t xml:space="preserve">) и средним предприятиям в 2020 году составила 2,939 тыс. человек. Доля среднесписочной численности работников (без внешних совместителей) малых (с учетом микропредприятий) и средних предприятий в среднесписочной численности работников (без внешних совместителей) всех предприятий и организаций составила 81,7 %. </w:t>
      </w:r>
    </w:p>
    <w:p w:rsidR="00A7123E" w:rsidRPr="00A7123E" w:rsidRDefault="00A7123E" w:rsidP="00A7123E">
      <w:pPr>
        <w:pStyle w:val="ab"/>
        <w:spacing w:line="276" w:lineRule="auto"/>
        <w:ind w:firstLine="708"/>
        <w:jc w:val="both"/>
        <w:rPr>
          <w:b w:val="0"/>
          <w:sz w:val="24"/>
          <w:szCs w:val="24"/>
        </w:rPr>
      </w:pPr>
      <w:r w:rsidRPr="00A7123E">
        <w:rPr>
          <w:b w:val="0"/>
          <w:sz w:val="24"/>
          <w:szCs w:val="24"/>
        </w:rPr>
        <w:t xml:space="preserve">По предварительной оценке 2021 года количество малых (с учетом микропредприятий) и средних предприятий увеличится на 2,7 % и составит 370 единиц. Среднесписочная численность работников (без внешних совместителей) по малым (включая </w:t>
      </w:r>
      <w:proofErr w:type="spellStart"/>
      <w:r w:rsidRPr="00A7123E">
        <w:rPr>
          <w:b w:val="0"/>
          <w:sz w:val="24"/>
          <w:szCs w:val="24"/>
        </w:rPr>
        <w:t>микропредприятия</w:t>
      </w:r>
      <w:proofErr w:type="spellEnd"/>
      <w:r w:rsidRPr="00A7123E">
        <w:rPr>
          <w:b w:val="0"/>
          <w:sz w:val="24"/>
          <w:szCs w:val="24"/>
        </w:rPr>
        <w:t xml:space="preserve">) и средним предприятиям в 2021 году увеличится на 0,4 % и составит 2,95 тыс. человек. Оборот малых (с учетом микропредприятий) и средних предприятий оценивается в размере 9600,00 млн. рублей (79,7 % к 2020 году). </w:t>
      </w:r>
    </w:p>
    <w:p w:rsidR="00A7123E" w:rsidRPr="00A7123E" w:rsidRDefault="00A7123E" w:rsidP="00A7123E">
      <w:pPr>
        <w:spacing w:line="276" w:lineRule="auto"/>
        <w:ind w:firstLine="709"/>
        <w:jc w:val="both"/>
      </w:pPr>
      <w:r w:rsidRPr="00A7123E">
        <w:t xml:space="preserve">Ежегодно в рамках реализации муниципальных программ поддержки малого и среднего предпринимательства в Усть-Большерецком муниципальном районе оказывается консультационная, имущественная и финансовая поддержка малого и среднего бизнеса на территории района. </w:t>
      </w:r>
    </w:p>
    <w:p w:rsidR="00A7123E" w:rsidRPr="00A7123E" w:rsidRDefault="00A7123E" w:rsidP="00A7123E">
      <w:pPr>
        <w:spacing w:line="276" w:lineRule="auto"/>
        <w:ind w:firstLine="709"/>
        <w:jc w:val="both"/>
      </w:pPr>
      <w:r w:rsidRPr="00A7123E">
        <w:t>Продолжает свою работу консультационный (дистанционный) пункт (</w:t>
      </w:r>
      <w:proofErr w:type="spellStart"/>
      <w:r w:rsidRPr="00A7123E">
        <w:t>организованое</w:t>
      </w:r>
      <w:proofErr w:type="spellEnd"/>
      <w:r w:rsidRPr="00A7123E">
        <w:t xml:space="preserve"> рабочее место) для предпринимателей района, с подключением к информационно-коммуникационной сети «Интернет» и к правовой системе «Гарант». </w:t>
      </w:r>
    </w:p>
    <w:p w:rsidR="00A7123E" w:rsidRPr="00A7123E" w:rsidRDefault="00A7123E" w:rsidP="00A7123E">
      <w:pPr>
        <w:spacing w:line="276" w:lineRule="auto"/>
        <w:ind w:firstLine="709"/>
        <w:jc w:val="both"/>
      </w:pPr>
      <w:r w:rsidRPr="00A7123E">
        <w:t>Реализация мероприятий Программ содействует увеличению числа субъектов малого и среднего предпринимательства района, созданию новых рабочих мест и решению проблемы занятости населения, увеличению объема выпуска товаров, работ, услуг, увеличению доли налоговых поступлений в бюджеты всех уровней и повышению благосостояния населения. Программно-целевой метод подхода к вопросам поддержки предпринимательства в Усть-Большерецком муниципальном районе, основанный на реализации Программ в данной сфере, разработанных с учетом реального состояния малого и среднего бизнеса, его потребностей и уровня развития в различных отраслях экономики, проблем и задач, стоящих перед районом, а также других, в том числе социальных, факторов полностью себя оправдывает.</w:t>
      </w:r>
    </w:p>
    <w:p w:rsidR="00A7123E" w:rsidRPr="00A7123E" w:rsidRDefault="00A7123E" w:rsidP="00A7123E">
      <w:pPr>
        <w:spacing w:line="276" w:lineRule="auto"/>
        <w:ind w:firstLine="709"/>
        <w:jc w:val="both"/>
      </w:pPr>
      <w:r w:rsidRPr="00A7123E">
        <w:t>В результате развития и совершенствования предпринимательской инициативы в Усть-Большерецком муниципальном районе, на ближайшую перспективу прогнозируется дальнейший рост числа малых предприятий. В 2022 году количество малых и средних предприятий составит по второму варианту 300 единиц, в 2023 году – 310 единиц, в 2024 году – 315 единиц. Наиболее привлекательными видами экономической деятельности останутся сфера торговли, обрабатывающие производства, строительство, рыболовство, туризм.</w:t>
      </w:r>
    </w:p>
    <w:p w:rsidR="00A7123E" w:rsidRPr="00A7123E" w:rsidRDefault="00A7123E" w:rsidP="00A7123E">
      <w:pPr>
        <w:spacing w:line="276" w:lineRule="auto"/>
        <w:ind w:firstLine="709"/>
        <w:jc w:val="both"/>
      </w:pPr>
      <w:r w:rsidRPr="00A7123E">
        <w:t>Учитывая тенденции роста потребительского спроса населения, а также объемов производства товаров, работ и услуг, прогнозируется увеличение среднесписочной численности работников малых (с учетом микропредприятий) и средних предприятий, которая в 2022 году увеличится относительно 2021 года на 0,4 % и составит по второму варианту 3,0 тыс. человек, в 2023 году – 3,2 тыс. человек, в 2024 году – 3,2 тыс. человек.</w:t>
      </w:r>
    </w:p>
    <w:p w:rsidR="00A7123E" w:rsidRPr="00A7123E" w:rsidRDefault="00A7123E" w:rsidP="00A7123E">
      <w:pPr>
        <w:spacing w:line="276" w:lineRule="auto"/>
        <w:ind w:firstLine="709"/>
        <w:jc w:val="both"/>
      </w:pPr>
      <w:r w:rsidRPr="00A7123E">
        <w:t>К 2021 году прогнозируется уменьшение оборота малых (с учетом микропредприятий) и средних предприятий до 9600,0 млн. рублей, при росте к 2022 году в 104,1 %, к 2023 году – 10413,74 млн. рублей (107 % к 2022 году), к 2024 году – 10 694,26 млн. рублей (100 % к 2023 году).</w:t>
      </w:r>
    </w:p>
    <w:p w:rsidR="00A7123E" w:rsidRPr="00A7123E" w:rsidRDefault="00A7123E" w:rsidP="00A7123E">
      <w:pPr>
        <w:pStyle w:val="ab"/>
        <w:spacing w:line="276" w:lineRule="auto"/>
        <w:ind w:firstLine="708"/>
        <w:jc w:val="both"/>
        <w:rPr>
          <w:b w:val="0"/>
          <w:sz w:val="24"/>
          <w:szCs w:val="24"/>
        </w:rPr>
      </w:pPr>
    </w:p>
    <w:p w:rsidR="00A7123E" w:rsidRPr="00A7123E" w:rsidRDefault="00A7123E" w:rsidP="00A7123E">
      <w:pPr>
        <w:pStyle w:val="ab"/>
        <w:spacing w:line="276" w:lineRule="auto"/>
        <w:ind w:firstLine="708"/>
        <w:rPr>
          <w:i/>
          <w:sz w:val="24"/>
          <w:szCs w:val="24"/>
        </w:rPr>
      </w:pPr>
      <w:r w:rsidRPr="00A7123E">
        <w:rPr>
          <w:i/>
          <w:sz w:val="24"/>
          <w:szCs w:val="24"/>
        </w:rPr>
        <w:t>Инвестиции</w:t>
      </w:r>
    </w:p>
    <w:p w:rsidR="00A7123E" w:rsidRPr="00A7123E" w:rsidRDefault="00A7123E" w:rsidP="00A7123E">
      <w:pPr>
        <w:spacing w:line="276" w:lineRule="auto"/>
        <w:ind w:firstLine="720"/>
        <w:jc w:val="both"/>
      </w:pPr>
      <w:r w:rsidRPr="00A7123E">
        <w:t xml:space="preserve">Объем инвестиций в основной капитал за счет всех источников финансирования в 2020 году составил 2 923,980 млн. рублей, что выше уровня прошлого года на 1 265,749 млн. рублей. </w:t>
      </w:r>
    </w:p>
    <w:p w:rsidR="00A7123E" w:rsidRPr="00A7123E" w:rsidRDefault="00A7123E" w:rsidP="00A7123E">
      <w:pPr>
        <w:spacing w:line="276" w:lineRule="auto"/>
        <w:ind w:firstLine="720"/>
        <w:jc w:val="both"/>
      </w:pPr>
      <w:r w:rsidRPr="00A7123E">
        <w:lastRenderedPageBreak/>
        <w:t>На 2021 год прогнозируется, что объем инвестиций в основной капитал составит 2 730,0 млн. рублей при индексе-дефляторе 104,61 %.</w:t>
      </w:r>
    </w:p>
    <w:p w:rsidR="00A7123E" w:rsidRPr="00A7123E" w:rsidRDefault="00A7123E" w:rsidP="00A7123E">
      <w:pPr>
        <w:pStyle w:val="ad"/>
        <w:spacing w:line="276" w:lineRule="auto"/>
        <w:ind w:firstLine="709"/>
        <w:jc w:val="both"/>
        <w:rPr>
          <w:rFonts w:ascii="Times New Roman" w:hAnsi="Times New Roman" w:cs="Times New Roman"/>
          <w:sz w:val="24"/>
          <w:szCs w:val="24"/>
        </w:rPr>
      </w:pPr>
      <w:r w:rsidRPr="00A7123E">
        <w:rPr>
          <w:rFonts w:ascii="Times New Roman" w:hAnsi="Times New Roman" w:cs="Times New Roman"/>
          <w:sz w:val="24"/>
          <w:szCs w:val="24"/>
        </w:rPr>
        <w:t>Объем инвестиций в основной капитал за счет всех источников финансирования прогнозируется в 2021 году на уровне 93,37 % в сопоставимой оценке к уровню 2020 года в объеме 2 730,0 млн. рублей. В 2022 году на уровне 104,25 % в сопоставимой оценке к уровню 2021 года в объеме 619,36 млн. рублей (по первому варианту), и 104,04 % в объеме 678,54 млн. рублей (по второму варианту). В 2023 году – 678,82 млн. рублей (104,15 % в сопоставимых оценке к уровню 2022 года), по первому варианту прогноза, и 702,28 млн. рублей по второму варианту (104,06 % в сопоставимых оценке к уровню 2022 года). В 2023 году – 678,82 млн. рублей (109,6 % в сопоставимых оценке к уровню 2022 года), по первому варианту прогноза, и 702,28 млн. рублей по второму варианту (103,5 % в сопоставимых оценке к уровню 2022 года)</w:t>
      </w:r>
    </w:p>
    <w:p w:rsidR="00A7123E" w:rsidRPr="00A7123E" w:rsidRDefault="00A7123E" w:rsidP="00A7123E">
      <w:pPr>
        <w:spacing w:line="276" w:lineRule="auto"/>
        <w:ind w:firstLine="709"/>
        <w:jc w:val="both"/>
      </w:pPr>
      <w:r w:rsidRPr="00A7123E">
        <w:t>Для привлечения инвестиционных ресурсов сформирован перечень инвестиционных объектов, позволяющий в максимальной степени задействовать имеющиеся ресурсы и стимулировать развитие предпринимательской деятельности. Общедоступность информации обеспечена путем ее размещения в сети «Интернет» на официальных сайтах Администрации Усть-Большерецкого муниципального района и Правительства Камчатского края.</w:t>
      </w:r>
    </w:p>
    <w:p w:rsidR="00A7123E" w:rsidRPr="00A7123E" w:rsidRDefault="00A7123E" w:rsidP="00A7123E">
      <w:pPr>
        <w:spacing w:line="276" w:lineRule="auto"/>
        <w:ind w:firstLine="709"/>
        <w:jc w:val="both"/>
        <w:rPr>
          <w:color w:val="FF0000"/>
        </w:rPr>
      </w:pPr>
      <w:r w:rsidRPr="00A7123E">
        <w:t xml:space="preserve">На территории района предлагаются к реализации, следующие инвестиционные объекты, включенные в </w:t>
      </w:r>
      <w:r w:rsidRPr="00A7123E">
        <w:rPr>
          <w:i/>
        </w:rPr>
        <w:t>Банк инвестиционных объектов Камчатского края:</w:t>
      </w:r>
    </w:p>
    <w:p w:rsidR="00A7123E" w:rsidRPr="00A7123E" w:rsidRDefault="00A7123E" w:rsidP="00A7123E">
      <w:pPr>
        <w:spacing w:line="276" w:lineRule="auto"/>
        <w:ind w:firstLine="709"/>
        <w:jc w:val="both"/>
      </w:pPr>
      <w:r w:rsidRPr="00A7123E">
        <w:t xml:space="preserve">1. </w:t>
      </w:r>
      <w:r w:rsidRPr="00A7123E">
        <w:rPr>
          <w:i/>
        </w:rPr>
        <w:t xml:space="preserve">«Создание </w:t>
      </w:r>
      <w:proofErr w:type="spellStart"/>
      <w:r w:rsidRPr="00A7123E">
        <w:rPr>
          <w:i/>
        </w:rPr>
        <w:t>торфомусороперерабатывающего</w:t>
      </w:r>
      <w:proofErr w:type="spellEnd"/>
      <w:r w:rsidRPr="00A7123E">
        <w:rPr>
          <w:i/>
        </w:rPr>
        <w:t xml:space="preserve"> предприятия ООО «МИТОГАТОРФ»</w:t>
      </w:r>
      <w:r w:rsidRPr="00A7123E">
        <w:t>, сфера деятельности – экология. Строительство данного объекта предусматривает привлечение частных инвестиций в сумме 618,41 млн. рублей. Его реализация позволит в первую очередь решить вопрос с утилизацией отходов на территории района, а также: создать не менее 150 постоянных рабочих мест; создать новую для Усть-Большерецкого муниципального района отрасль переработки вторичного сырья, отрасль глубокой переработки торфа в продукцию нефтепереработки – дизельное топливо, мазут и битумы; увеличить поступление налогов и платежей в бюджеты всех уровней; сохранить природные энергоресурсы.</w:t>
      </w:r>
    </w:p>
    <w:p w:rsidR="00A7123E" w:rsidRPr="00A7123E" w:rsidRDefault="00A7123E" w:rsidP="00A7123E">
      <w:pPr>
        <w:spacing w:line="276" w:lineRule="auto"/>
        <w:ind w:right="15" w:firstLine="709"/>
        <w:jc w:val="both"/>
      </w:pPr>
      <w:r w:rsidRPr="00A7123E">
        <w:t>2</w:t>
      </w:r>
      <w:r w:rsidRPr="00A7123E">
        <w:rPr>
          <w:i/>
        </w:rPr>
        <w:t>. «Строительство многофункционального порта-ковша в районе м. Левашова»</w:t>
      </w:r>
      <w:r w:rsidRPr="00A7123E">
        <w:t xml:space="preserve">, сфера деятельности – прочие отрасли промышленности. Строительство порта на западной Камчатке возле м. Левашова должно удовлетворять требованию, прежде всего экономической целесообразности и быть прибыльным, как собственникам и инвесторам, так и флоту. Затраты на строительство порта – ковша будут зависеть от выбора Генерального подрядчика и от выбора варианта инвестирования. Подрядчиками могут выступать российские, корейские, китайские и японские компании, при этом может быть и соответствующее финансирование.  </w:t>
      </w:r>
    </w:p>
    <w:p w:rsidR="00A7123E" w:rsidRPr="00A7123E" w:rsidRDefault="00A7123E" w:rsidP="00A7123E">
      <w:pPr>
        <w:spacing w:line="276" w:lineRule="auto"/>
        <w:ind w:firstLine="709"/>
        <w:jc w:val="both"/>
      </w:pPr>
      <w:r w:rsidRPr="00A7123E">
        <w:t>3.</w:t>
      </w:r>
      <w:r w:rsidRPr="00A7123E">
        <w:rPr>
          <w:i/>
        </w:rPr>
        <w:t xml:space="preserve"> «</w:t>
      </w:r>
      <w:proofErr w:type="spellStart"/>
      <w:r w:rsidRPr="00A7123E">
        <w:rPr>
          <w:i/>
        </w:rPr>
        <w:t>Озерновские</w:t>
      </w:r>
      <w:proofErr w:type="spellEnd"/>
      <w:r w:rsidRPr="00A7123E">
        <w:rPr>
          <w:i/>
        </w:rPr>
        <w:t xml:space="preserve"> бальнеологические источники»</w:t>
      </w:r>
      <w:r w:rsidRPr="00A7123E">
        <w:t>, сфера деятельности – туризм. Предполагается строительство здания на 30 мест для туристического отдыха и лечения, жилого дома для обслуживающего персонала, автостоянки, новых бассейнов (или реконструкция имеющихся), прокладка коммуникационных систем, а также ремонт 14 км и строительство 4 км новых автомобильных дорог.</w:t>
      </w:r>
    </w:p>
    <w:p w:rsidR="00A7123E" w:rsidRPr="00A7123E" w:rsidRDefault="00A7123E" w:rsidP="00A7123E">
      <w:pPr>
        <w:spacing w:line="276" w:lineRule="auto"/>
        <w:ind w:firstLine="709"/>
        <w:jc w:val="both"/>
      </w:pPr>
      <w:r w:rsidRPr="00A7123E">
        <w:t xml:space="preserve">4. </w:t>
      </w:r>
      <w:r w:rsidRPr="00A7123E">
        <w:rPr>
          <w:i/>
        </w:rPr>
        <w:t>«Приобретение модульного забойного цеха»</w:t>
      </w:r>
      <w:r w:rsidRPr="00A7123E">
        <w:t>, сфера деятельности – сельское хозяйство. Реализация данной инвестиционной идеи позволит поставить забой скота под контроль ветеринарной службы и довести до потребителя качественный продукт.</w:t>
      </w:r>
    </w:p>
    <w:p w:rsidR="00A7123E" w:rsidRPr="00A7123E" w:rsidRDefault="00A7123E" w:rsidP="00A7123E">
      <w:pPr>
        <w:spacing w:line="276" w:lineRule="auto"/>
        <w:ind w:firstLine="709"/>
        <w:jc w:val="both"/>
      </w:pPr>
      <w:r w:rsidRPr="00A7123E">
        <w:t xml:space="preserve">5. </w:t>
      </w:r>
      <w:r w:rsidRPr="00A7123E">
        <w:rPr>
          <w:i/>
        </w:rPr>
        <w:t>«Строительство этнографического комплекса»</w:t>
      </w:r>
      <w:r w:rsidRPr="00A7123E">
        <w:t xml:space="preserve">, сфера деятельности – туризм. Предполагается строительство туристического комплекса для круглогодичного приема туристов, концепция создания которого заключается в использовании ресурсов природного и исторического наследия Усть-Большерецкого муниципального района. </w:t>
      </w:r>
    </w:p>
    <w:p w:rsidR="00A7123E" w:rsidRPr="00A7123E" w:rsidRDefault="00A7123E" w:rsidP="00A7123E">
      <w:pPr>
        <w:spacing w:line="276" w:lineRule="auto"/>
        <w:ind w:left="709"/>
        <w:rPr>
          <w:b/>
          <w:i/>
        </w:rPr>
      </w:pPr>
    </w:p>
    <w:p w:rsidR="00A7123E" w:rsidRPr="00A7123E" w:rsidRDefault="00A7123E" w:rsidP="00A7123E">
      <w:pPr>
        <w:spacing w:line="276" w:lineRule="auto"/>
        <w:jc w:val="center"/>
        <w:rPr>
          <w:b/>
          <w:i/>
        </w:rPr>
      </w:pPr>
      <w:r w:rsidRPr="00A7123E">
        <w:rPr>
          <w:b/>
          <w:i/>
        </w:rPr>
        <w:t>Финансы</w:t>
      </w:r>
    </w:p>
    <w:p w:rsidR="00A7123E" w:rsidRPr="00A7123E" w:rsidRDefault="00A7123E" w:rsidP="00A7123E">
      <w:pPr>
        <w:spacing w:line="276" w:lineRule="auto"/>
        <w:ind w:firstLine="709"/>
        <w:jc w:val="both"/>
      </w:pPr>
      <w:r w:rsidRPr="00A7123E">
        <w:lastRenderedPageBreak/>
        <w:t>Исполнение бюджета района в 2020 году осуществлялось на основании Решения Думы Усть-Большерецкого муниципального района от 27 декабря 2019 года № 283 «О местном бюджете Усть-Большерецкого муниципального района на 2020 год и на плановый период 2021 и 2022 годов», с учетом основных направлений налогово-бюджетной политики Усть-Большерецкого муниципального района.</w:t>
      </w:r>
    </w:p>
    <w:p w:rsidR="00A7123E" w:rsidRPr="00A7123E" w:rsidRDefault="00A7123E" w:rsidP="00A7123E">
      <w:pPr>
        <w:spacing w:line="276" w:lineRule="auto"/>
        <w:ind w:firstLine="709"/>
        <w:jc w:val="both"/>
      </w:pPr>
      <w:r w:rsidRPr="00A7123E">
        <w:t>Бюджетная и налоговая политика Усть-Большерецкого муниципального района в 2012 году была направлена на сохранение и развитие доходного потенциала района, поддержку реального сектора экономики района, формирование проекта бюджета, изменений и дополнений к нему в режиме жесткой экономии, ограничение принимаемых расходных обязательств, обеспечение ассигнованиями приоритетных расходных обязательств в полном объеме, повышение эффективности бюджетных расходов и предоставления муниципальных услуг.</w:t>
      </w:r>
    </w:p>
    <w:p w:rsidR="00A7123E" w:rsidRPr="00A7123E" w:rsidRDefault="00A7123E" w:rsidP="00A7123E">
      <w:pPr>
        <w:spacing w:line="276" w:lineRule="auto"/>
        <w:ind w:firstLine="709"/>
        <w:jc w:val="both"/>
      </w:pPr>
      <w:r w:rsidRPr="00A7123E">
        <w:t>Доходная часть местного бюджета в 2020 году формировалась за счет налоговых и неналоговых доходов, безвозмездных поступлений и ее объем за 2020 год составил 1 261 467,85 тыс. рублей или 101,2 % от плановых (прогнозных) назначений 2020 года.</w:t>
      </w:r>
    </w:p>
    <w:p w:rsidR="00A7123E" w:rsidRPr="00A7123E" w:rsidRDefault="00A7123E" w:rsidP="00A7123E">
      <w:pPr>
        <w:pStyle w:val="Default"/>
        <w:spacing w:line="276" w:lineRule="auto"/>
        <w:ind w:firstLine="720"/>
        <w:jc w:val="both"/>
      </w:pPr>
      <w:r w:rsidRPr="00A7123E">
        <w:rPr>
          <w:color w:val="auto"/>
        </w:rPr>
        <w:t>Поступления налоговых и неналоговых доходов за 2020 год составили 687 734,29 тыс. рублей или 103,1 % от плановых (прогнозных) назначений 2020 года.</w:t>
      </w:r>
    </w:p>
    <w:p w:rsidR="00A7123E" w:rsidRPr="00A7123E" w:rsidRDefault="00A7123E" w:rsidP="00A7123E">
      <w:pPr>
        <w:pStyle w:val="Default"/>
        <w:spacing w:line="276" w:lineRule="auto"/>
        <w:ind w:firstLine="720"/>
        <w:jc w:val="both"/>
        <w:rPr>
          <w:color w:val="auto"/>
        </w:rPr>
      </w:pPr>
      <w:r w:rsidRPr="00A7123E">
        <w:t xml:space="preserve">Все мероприятия по исполнению бюджета Усть-Большерецкого муниципального района в отчетном году выполнялись в соответствии с утвержденным бюджетом на 2020 год. Удельный вес </w:t>
      </w:r>
      <w:r w:rsidRPr="00A7123E">
        <w:rPr>
          <w:color w:val="auto"/>
        </w:rPr>
        <w:t>налоговых и неналоговых доходов в общем объеме доходов составил 54,5 %.</w:t>
      </w:r>
    </w:p>
    <w:p w:rsidR="00A7123E" w:rsidRPr="00A7123E" w:rsidRDefault="00A7123E" w:rsidP="00A7123E">
      <w:pPr>
        <w:spacing w:line="300" w:lineRule="auto"/>
        <w:ind w:firstLine="709"/>
        <w:jc w:val="both"/>
      </w:pPr>
      <w:r w:rsidRPr="00A7123E">
        <w:t xml:space="preserve">Поступления </w:t>
      </w:r>
      <w:r w:rsidRPr="00A7123E">
        <w:rPr>
          <w:b/>
        </w:rPr>
        <w:t xml:space="preserve">налоговых доходов </w:t>
      </w:r>
      <w:r w:rsidRPr="00A7123E">
        <w:t>в 2020 году составили 632 563,02 тыс. рублей или 104,8 % от годовых плановых (прогнозных) назначений. Удельный вес налоговых доходов в общем объеме доходов составил 50,1</w:t>
      </w:r>
      <w:r w:rsidRPr="00A7123E">
        <w:rPr>
          <w:color w:val="FF0000"/>
        </w:rPr>
        <w:t xml:space="preserve"> </w:t>
      </w:r>
      <w:r w:rsidRPr="00A7123E">
        <w:t xml:space="preserve">%. </w:t>
      </w:r>
    </w:p>
    <w:p w:rsidR="00A7123E" w:rsidRPr="00A7123E" w:rsidRDefault="00A7123E" w:rsidP="00A7123E">
      <w:pPr>
        <w:spacing w:line="300" w:lineRule="auto"/>
        <w:ind w:firstLine="709"/>
        <w:jc w:val="both"/>
      </w:pPr>
      <w:r w:rsidRPr="00A7123E">
        <w:t>За 2020 год поступления налоговых доходов составили 673 560,04 тыс. рублей или 99,4 % от годовых плановых назначений. Удельный вес в общем объеме составил 45,2</w:t>
      </w:r>
      <w:r w:rsidRPr="00A7123E">
        <w:rPr>
          <w:color w:val="FF0000"/>
        </w:rPr>
        <w:t xml:space="preserve"> </w:t>
      </w:r>
      <w:r w:rsidRPr="00A7123E">
        <w:t>%.</w:t>
      </w:r>
    </w:p>
    <w:p w:rsidR="00A7123E" w:rsidRPr="00A7123E" w:rsidRDefault="00A7123E" w:rsidP="00A7123E">
      <w:pPr>
        <w:spacing w:line="300" w:lineRule="auto"/>
        <w:ind w:firstLine="709"/>
        <w:jc w:val="both"/>
      </w:pPr>
      <w:r w:rsidRPr="00A7123E">
        <w:t>В целом, поступления налоговых доходов по сравнению с 2019 годом сократились на 40 997,02 тыс. рублей или 6,1 %.</w:t>
      </w:r>
    </w:p>
    <w:p w:rsidR="00A7123E" w:rsidRPr="00A7123E" w:rsidRDefault="00A7123E" w:rsidP="00A7123E">
      <w:pPr>
        <w:spacing w:line="300" w:lineRule="auto"/>
        <w:ind w:firstLine="709"/>
        <w:jc w:val="both"/>
      </w:pPr>
      <w:r w:rsidRPr="00A7123E">
        <w:t xml:space="preserve">Прогноз доходов на 2020 года формировался в период высокой неопределенности относительно возможных сценариев развития пандемии новой коронавирусной инфекции и связанных с ней ограничений. В связи с этим прогноз на 2020 год сформирован главными администраторами доходов местного бюджета относительно консервативно. Поскольку часть введенных ограничений впоследствии была снята, фактические поступления по многим налоговым доходам оказались на уровне прогнозных значений. </w:t>
      </w:r>
    </w:p>
    <w:p w:rsidR="00A7123E" w:rsidRPr="00A7123E" w:rsidRDefault="00A7123E" w:rsidP="00A7123E">
      <w:pPr>
        <w:spacing w:line="300" w:lineRule="auto"/>
        <w:ind w:firstLine="709"/>
        <w:jc w:val="both"/>
      </w:pPr>
      <w:r w:rsidRPr="00A7123E">
        <w:t>Наибольший удельный вес в составе налоговых доходов занимают налог на доходы физических лиц – 72,6% и единый сельскохозяйственный налог – 15,4%. Доля налога на прибыль составила 3,9%, налога на имущество – 4,2%.</w:t>
      </w:r>
    </w:p>
    <w:p w:rsidR="00A7123E" w:rsidRPr="00A7123E" w:rsidRDefault="00A7123E" w:rsidP="00A7123E">
      <w:pPr>
        <w:pStyle w:val="Default"/>
        <w:spacing w:line="276" w:lineRule="auto"/>
        <w:ind w:firstLine="720"/>
        <w:jc w:val="both"/>
        <w:rPr>
          <w:color w:val="auto"/>
        </w:rPr>
      </w:pPr>
      <w:r w:rsidRPr="00A7123E">
        <w:rPr>
          <w:b/>
          <w:color w:val="auto"/>
        </w:rPr>
        <w:t>Неналоговые доходы</w:t>
      </w:r>
      <w:r w:rsidRPr="00A7123E">
        <w:rPr>
          <w:color w:val="auto"/>
        </w:rPr>
        <w:t xml:space="preserve"> поступили ниже прогноза на 8 653,63 тыс. рублей (на 13,6%) и составили 63 824,88 тыс. рублей (4,4% от общего объема доходов).</w:t>
      </w:r>
    </w:p>
    <w:p w:rsidR="00A7123E" w:rsidRPr="00A7123E" w:rsidRDefault="00A7123E" w:rsidP="00A7123E">
      <w:pPr>
        <w:pStyle w:val="Default"/>
        <w:spacing w:line="276" w:lineRule="auto"/>
        <w:ind w:firstLine="720"/>
        <w:jc w:val="both"/>
        <w:rPr>
          <w:color w:val="auto"/>
        </w:rPr>
      </w:pPr>
      <w:r w:rsidRPr="00A7123E">
        <w:rPr>
          <w:color w:val="auto"/>
        </w:rPr>
        <w:t>Основную долю неналоговых доходов составляют доходы от оказания платных услуг (работ) (44,5%) и доходы от использования имущества, находящегося в муниципальной собственности (27,0%).</w:t>
      </w:r>
    </w:p>
    <w:p w:rsidR="00A7123E" w:rsidRPr="00A7123E" w:rsidRDefault="00A7123E" w:rsidP="00A7123E">
      <w:pPr>
        <w:pStyle w:val="Default"/>
        <w:spacing w:line="276" w:lineRule="auto"/>
        <w:ind w:firstLine="720"/>
        <w:jc w:val="both"/>
        <w:rPr>
          <w:color w:val="auto"/>
        </w:rPr>
      </w:pPr>
      <w:r w:rsidRPr="00A7123E">
        <w:rPr>
          <w:color w:val="auto"/>
        </w:rPr>
        <w:t>В составе неналоговых доходов в доход местного бюджета зачислены средства, полученные МКУ ЖКХ «Надежда» от оказания платных услуг.</w:t>
      </w:r>
    </w:p>
    <w:p w:rsidR="00A7123E" w:rsidRPr="00A7123E" w:rsidRDefault="00A7123E" w:rsidP="00A7123E">
      <w:pPr>
        <w:pStyle w:val="Default"/>
        <w:spacing w:line="276" w:lineRule="auto"/>
        <w:ind w:firstLine="720"/>
        <w:jc w:val="both"/>
        <w:rPr>
          <w:color w:val="auto"/>
        </w:rPr>
      </w:pPr>
      <w:r w:rsidRPr="00A7123E">
        <w:rPr>
          <w:b/>
          <w:color w:val="auto"/>
        </w:rPr>
        <w:t>Безвозмездные поступления</w:t>
      </w:r>
      <w:r w:rsidRPr="00A7123E">
        <w:rPr>
          <w:color w:val="auto"/>
        </w:rPr>
        <w:t xml:space="preserve"> за 2020 год составили 573 733,56 тыс. рублей или 99,0 % от годовых плановых назначений. Их доля в общем объеме поступлений составила 45,5 %. </w:t>
      </w:r>
    </w:p>
    <w:p w:rsidR="00A7123E" w:rsidRPr="00A7123E" w:rsidRDefault="00A7123E" w:rsidP="00A7123E">
      <w:pPr>
        <w:pStyle w:val="Default"/>
        <w:spacing w:line="276" w:lineRule="auto"/>
        <w:ind w:firstLine="720"/>
        <w:jc w:val="both"/>
        <w:rPr>
          <w:color w:val="auto"/>
        </w:rPr>
      </w:pPr>
      <w:r w:rsidRPr="00A7123E">
        <w:rPr>
          <w:color w:val="auto"/>
        </w:rPr>
        <w:lastRenderedPageBreak/>
        <w:t>За 2019 год исполнение по безвозмездным поступлениям составило 772 047,00 тыс. рублей или 98,9 % от утвержденного годового объема. Удельный вес в общем объеме доходов местного бюджета составил 51,8 %.</w:t>
      </w:r>
    </w:p>
    <w:p w:rsidR="00A7123E" w:rsidRPr="00A7123E" w:rsidRDefault="00A7123E" w:rsidP="00A7123E">
      <w:pPr>
        <w:spacing w:line="276" w:lineRule="auto"/>
        <w:ind w:firstLine="709"/>
        <w:jc w:val="both"/>
      </w:pPr>
      <w:r w:rsidRPr="00A7123E">
        <w:t>В 2020 году финансирование бюджетных учреждений, находящихся на содержании местного бюджета Усть-Большерецкого муниципального района, осуществлялось в соответствии с реальными возможностями доходов местного бюджета – за счет поступления налоговых и неналоговых доходов и безвозмездных поступлений.</w:t>
      </w:r>
    </w:p>
    <w:p w:rsidR="00A7123E" w:rsidRPr="00A7123E" w:rsidRDefault="00A7123E" w:rsidP="00A7123E">
      <w:pPr>
        <w:spacing w:line="276" w:lineRule="auto"/>
        <w:ind w:firstLine="709"/>
        <w:jc w:val="both"/>
      </w:pPr>
      <w:r w:rsidRPr="00A7123E">
        <w:t xml:space="preserve">В течение 2020 года расходование бюджетных средств осуществлялось в соответствии с основными направлениями бюджетной политики. Такими как: своевременная выплата заработной платы работникам муниципальных учреждений, финансируемых из местного бюджета, перечисление во внебюджетные фонды начислений на оплату труда работников, оплата коммунальных услуг, социальное обеспечение граждан, повышение эффективности расходования бюджетных средств путем проведения инвентаризации расходных обязательств с целью сокращения неэффективных и дублирующих расходных обязательств, исключения необязательных затрат, ограничения принимаемых расходных обязательств, усовершенствование механизмов муниципальных закупок, за счет применения современных процедур размещения заказов, с целью исключения завышения цен на товары и заключения контрактов с заведомо некомпетентными исполнителями. </w:t>
      </w:r>
    </w:p>
    <w:p w:rsidR="00A7123E" w:rsidRPr="00A7123E" w:rsidRDefault="00A7123E" w:rsidP="00A7123E">
      <w:pPr>
        <w:shd w:val="clear" w:color="auto" w:fill="FFFFFF"/>
        <w:spacing w:before="240" w:line="300" w:lineRule="auto"/>
        <w:ind w:right="57" w:firstLine="709"/>
        <w:jc w:val="both"/>
      </w:pPr>
      <w:r w:rsidRPr="00A7123E">
        <w:t>Расходы местного бюджета исполнены в сумме 1 367 657,57045 тыс. рублей или 97,5 % от утвержденных годовых ассигнований.</w:t>
      </w:r>
    </w:p>
    <w:p w:rsidR="00A7123E" w:rsidRPr="00A7123E" w:rsidRDefault="00A7123E" w:rsidP="00A7123E">
      <w:pPr>
        <w:shd w:val="clear" w:color="auto" w:fill="FFFFFF"/>
        <w:spacing w:line="300" w:lineRule="auto"/>
        <w:ind w:right="57" w:firstLine="709"/>
        <w:jc w:val="both"/>
      </w:pPr>
      <w:r w:rsidRPr="00A7123E">
        <w:rPr>
          <w:bCs/>
        </w:rPr>
        <w:t xml:space="preserve">Основную долю в общем объеме расходов </w:t>
      </w:r>
      <w:r w:rsidRPr="00A7123E">
        <w:t>местного бюджета за 2020 год составили:</w:t>
      </w:r>
    </w:p>
    <w:p w:rsidR="00A7123E" w:rsidRPr="00A7123E" w:rsidRDefault="00A7123E" w:rsidP="00A7123E">
      <w:pPr>
        <w:shd w:val="clear" w:color="auto" w:fill="FFFFFF"/>
        <w:spacing w:line="300" w:lineRule="auto"/>
        <w:ind w:right="57" w:firstLine="709"/>
        <w:jc w:val="both"/>
      </w:pPr>
      <w:r w:rsidRPr="00A7123E">
        <w:t>р. 07 «Образование» – 47,7 % в общем объеме расходов;</w:t>
      </w:r>
    </w:p>
    <w:p w:rsidR="00A7123E" w:rsidRPr="00A7123E" w:rsidRDefault="00A7123E" w:rsidP="00A7123E">
      <w:pPr>
        <w:shd w:val="clear" w:color="auto" w:fill="FFFFFF"/>
        <w:spacing w:line="300" w:lineRule="auto"/>
        <w:ind w:right="57" w:firstLine="709"/>
        <w:jc w:val="both"/>
      </w:pPr>
      <w:r w:rsidRPr="00A7123E">
        <w:t>р. 05 «Жилищно-коммунальное хозяйство» - 17,0 % в общем объеме расходов;</w:t>
      </w:r>
    </w:p>
    <w:p w:rsidR="00A7123E" w:rsidRPr="00A7123E" w:rsidRDefault="00A7123E" w:rsidP="00A7123E">
      <w:pPr>
        <w:shd w:val="clear" w:color="auto" w:fill="FFFFFF"/>
        <w:spacing w:line="300" w:lineRule="auto"/>
        <w:ind w:right="57" w:firstLine="709"/>
        <w:jc w:val="both"/>
      </w:pPr>
      <w:r w:rsidRPr="00A7123E">
        <w:t>р. 01 «Общегосударственные расходы» - 12,0 % в общем объеме расходов;</w:t>
      </w:r>
    </w:p>
    <w:p w:rsidR="00A7123E" w:rsidRPr="00A7123E" w:rsidRDefault="00A7123E" w:rsidP="00A7123E">
      <w:pPr>
        <w:shd w:val="clear" w:color="auto" w:fill="FFFFFF"/>
        <w:spacing w:line="300" w:lineRule="auto"/>
        <w:ind w:right="57" w:firstLine="709"/>
        <w:jc w:val="both"/>
      </w:pPr>
      <w:r w:rsidRPr="00A7123E">
        <w:t>р. 14 «Межбюджетные трансферты общего характера» – 10,9 % в общем объеме расходов.</w:t>
      </w:r>
    </w:p>
    <w:p w:rsidR="00A7123E" w:rsidRPr="00A7123E" w:rsidRDefault="00A7123E" w:rsidP="00A7123E">
      <w:pPr>
        <w:spacing w:line="276" w:lineRule="auto"/>
        <w:jc w:val="both"/>
      </w:pPr>
      <w:r w:rsidRPr="00A7123E">
        <w:tab/>
        <w:t>Просроченная кредиторская задолженность по расходам местного бюджета по состоянию на 01 января 2021 года отсутствует.</w:t>
      </w:r>
    </w:p>
    <w:p w:rsidR="00A7123E" w:rsidRPr="00A7123E" w:rsidRDefault="00A7123E" w:rsidP="00A7123E">
      <w:pPr>
        <w:spacing w:line="276" w:lineRule="auto"/>
        <w:ind w:firstLine="709"/>
        <w:jc w:val="both"/>
      </w:pPr>
    </w:p>
    <w:p w:rsidR="00A7123E" w:rsidRPr="00A7123E" w:rsidRDefault="00A7123E" w:rsidP="00A7123E">
      <w:pPr>
        <w:spacing w:line="276" w:lineRule="auto"/>
        <w:ind w:firstLine="709"/>
        <w:jc w:val="both"/>
      </w:pPr>
      <w:r w:rsidRPr="00A7123E">
        <w:t>Структура расходов обусловлена системой расходных приоритетов, ориентированной на безусловное исполнение публичных обязательств в сферах социального развития, создания благоприятного инвестиционного климата, поддержки значимых отраслей.</w:t>
      </w:r>
    </w:p>
    <w:p w:rsidR="00A7123E" w:rsidRPr="00A7123E" w:rsidRDefault="00A7123E" w:rsidP="00A7123E">
      <w:pPr>
        <w:spacing w:line="276" w:lineRule="auto"/>
        <w:ind w:firstLine="708"/>
        <w:jc w:val="both"/>
      </w:pPr>
      <w:r w:rsidRPr="00A7123E">
        <w:t>За 2020 год бюджет Усть-Большерецкого муниципального района исполнен с профицитом в объеме 106 189,72 тыс. рублей.</w:t>
      </w:r>
    </w:p>
    <w:p w:rsidR="00A7123E" w:rsidRPr="00A7123E" w:rsidRDefault="00A7123E" w:rsidP="00A7123E">
      <w:pPr>
        <w:spacing w:line="276" w:lineRule="auto"/>
        <w:ind w:firstLine="708"/>
        <w:jc w:val="both"/>
      </w:pPr>
      <w:r w:rsidRPr="00A7123E">
        <w:t xml:space="preserve">Остаток денежных средств на счетах по учету средств местного бюджета на 01.01.2020 года составлял 156 284,37 тыс. рублей. По состоянию на 01 января 2021 года указанный остаток сократился на 106 183,58 тыс. рублей и составил – 50 100,79 тыс. рублей. </w:t>
      </w:r>
    </w:p>
    <w:p w:rsidR="00A7123E" w:rsidRPr="00A7123E" w:rsidRDefault="00A7123E" w:rsidP="00A7123E">
      <w:pPr>
        <w:spacing w:line="276" w:lineRule="auto"/>
        <w:ind w:firstLine="708"/>
        <w:jc w:val="both"/>
      </w:pPr>
      <w:r w:rsidRPr="00A7123E">
        <w:t>Долговые обязательства в 2020 году не принимались.</w:t>
      </w:r>
    </w:p>
    <w:p w:rsidR="00A7123E" w:rsidRPr="00A7123E" w:rsidRDefault="00A7123E" w:rsidP="00A7123E">
      <w:pPr>
        <w:spacing w:line="276" w:lineRule="auto"/>
        <w:ind w:firstLine="567"/>
        <w:jc w:val="both"/>
      </w:pPr>
    </w:p>
    <w:p w:rsidR="00A7123E" w:rsidRPr="00A7123E" w:rsidRDefault="00A7123E" w:rsidP="00A7123E">
      <w:pPr>
        <w:spacing w:line="276" w:lineRule="auto"/>
        <w:ind w:firstLine="567"/>
        <w:jc w:val="center"/>
        <w:rPr>
          <w:b/>
          <w:i/>
          <w:szCs w:val="28"/>
        </w:rPr>
      </w:pPr>
      <w:r w:rsidRPr="00A7123E">
        <w:rPr>
          <w:b/>
          <w:i/>
          <w:szCs w:val="28"/>
        </w:rPr>
        <w:t>Уровень жизни населения</w:t>
      </w:r>
    </w:p>
    <w:p w:rsidR="00A7123E" w:rsidRPr="00A7123E" w:rsidRDefault="00A7123E" w:rsidP="00A7123E">
      <w:pPr>
        <w:spacing w:line="276" w:lineRule="auto"/>
        <w:ind w:firstLine="709"/>
        <w:jc w:val="both"/>
      </w:pPr>
      <w:r w:rsidRPr="00A7123E">
        <w:rPr>
          <w:szCs w:val="28"/>
        </w:rPr>
        <w:t xml:space="preserve">Среднегодовая величина прожиточного минимума в 2020 году в Усть-Большерецком муниципальном районе в среднем на душу населения составила </w:t>
      </w:r>
      <w:r w:rsidRPr="00A7123E">
        <w:t xml:space="preserve">21 524,0 рубля, для трудоспособного населения – 22 535 рублей, пенсионеров – 17 040 рублей, детей – 23 038 рублей. </w:t>
      </w:r>
    </w:p>
    <w:p w:rsidR="00A7123E" w:rsidRPr="00A7123E" w:rsidRDefault="00A7123E" w:rsidP="00A7123E">
      <w:pPr>
        <w:spacing w:line="276" w:lineRule="auto"/>
        <w:ind w:firstLine="709"/>
        <w:jc w:val="both"/>
        <w:rPr>
          <w:szCs w:val="28"/>
        </w:rPr>
      </w:pPr>
      <w:r w:rsidRPr="00A7123E">
        <w:rPr>
          <w:szCs w:val="28"/>
        </w:rPr>
        <w:t>Величина прожиточного минимума в 2021 году оценивается в 21 797 рублей, что выше уровня 2020 года на 1,3 %.</w:t>
      </w:r>
    </w:p>
    <w:p w:rsidR="00A7123E" w:rsidRPr="00A7123E" w:rsidRDefault="00A7123E" w:rsidP="00A7123E">
      <w:pPr>
        <w:autoSpaceDE w:val="0"/>
        <w:autoSpaceDN w:val="0"/>
        <w:ind w:firstLine="709"/>
        <w:jc w:val="both"/>
      </w:pPr>
      <w:r w:rsidRPr="00A7123E">
        <w:lastRenderedPageBreak/>
        <w:t xml:space="preserve">В 2020 году реальные располагаемые денежные доходы населения составили 100,0 % к 2019 году, реальная заработная плата – 105,1 %, реальный размер назначенных месячных пенсий – 102,2 %. </w:t>
      </w:r>
    </w:p>
    <w:p w:rsidR="00A7123E" w:rsidRPr="00A7123E" w:rsidRDefault="00A7123E" w:rsidP="00A7123E">
      <w:pPr>
        <w:autoSpaceDE w:val="0"/>
        <w:autoSpaceDN w:val="0"/>
        <w:ind w:firstLine="709"/>
        <w:jc w:val="both"/>
      </w:pPr>
      <w:r w:rsidRPr="00A7123E">
        <w:t>Доля населения с денежными доходами ниже величины прожиточного минимума снижена по сравнению с 2019 годом на 0,8 процентных пункта и составила 15,0 %.</w:t>
      </w:r>
    </w:p>
    <w:p w:rsidR="00A7123E" w:rsidRPr="00A7123E" w:rsidRDefault="00A7123E" w:rsidP="00A7123E">
      <w:pPr>
        <w:tabs>
          <w:tab w:val="left" w:pos="9639"/>
        </w:tabs>
        <w:spacing w:line="276" w:lineRule="auto"/>
        <w:ind w:firstLine="709"/>
        <w:jc w:val="both"/>
      </w:pPr>
      <w:r w:rsidRPr="00A7123E">
        <w:t>Численность пенсионеров, состоящих на учете в Пенсионном фонде РФ, и средний размер назначенных пенсий представлены в диаграмме:</w:t>
      </w:r>
    </w:p>
    <w:p w:rsidR="00A7123E" w:rsidRPr="00A7123E" w:rsidRDefault="00A7123E" w:rsidP="00A7123E">
      <w:pPr>
        <w:jc w:val="both"/>
        <w:rPr>
          <w:b/>
          <w:i/>
          <w:color w:val="95B3D7"/>
        </w:rPr>
      </w:pPr>
      <w:r w:rsidRPr="00A7123E">
        <w:rPr>
          <w:b/>
          <w:i/>
          <w:noProof/>
          <w:sz w:val="16"/>
          <w:szCs w:val="16"/>
        </w:rPr>
        <w:drawing>
          <wp:inline distT="0" distB="0" distL="0" distR="0" wp14:anchorId="2C000D61" wp14:editId="190DFD49">
            <wp:extent cx="6098540" cy="2083435"/>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123E" w:rsidRPr="00A7123E" w:rsidRDefault="00A7123E" w:rsidP="00A7123E">
      <w:pPr>
        <w:tabs>
          <w:tab w:val="left" w:pos="9639"/>
        </w:tabs>
        <w:spacing w:line="276" w:lineRule="auto"/>
        <w:ind w:firstLine="709"/>
        <w:jc w:val="both"/>
      </w:pPr>
      <w:r w:rsidRPr="00A7123E">
        <w:t xml:space="preserve">Сохраняется высокая межотраслевая дифференциация заработной платы. Наиболее высокий уровень заработной платы сложился по видам деятельности: «обеспечение электрической энергией, газом и паром; кондиционирование воздуха» - 77 608,3 рублей (на 9,2 % выше среднего значения), «обрабатывающие производства» - 73 107,9 рублей (на 3,6 </w:t>
      </w:r>
      <w:proofErr w:type="gramStart"/>
      <w:r w:rsidRPr="00A7123E">
        <w:t>%).,</w:t>
      </w:r>
      <w:proofErr w:type="gramEnd"/>
      <w:r w:rsidRPr="00A7123E">
        <w:t xml:space="preserve"> «государственное управление и обеспечение военной безопасности, социальное страхование» - 73 090,00 рублей (на 3,6 %).</w:t>
      </w:r>
    </w:p>
    <w:p w:rsidR="00A7123E" w:rsidRPr="00A7123E" w:rsidRDefault="00A7123E" w:rsidP="00A7123E">
      <w:pPr>
        <w:tabs>
          <w:tab w:val="left" w:pos="9639"/>
        </w:tabs>
        <w:spacing w:line="276" w:lineRule="auto"/>
        <w:ind w:firstLine="709"/>
        <w:jc w:val="both"/>
      </w:pPr>
      <w:r w:rsidRPr="00A7123E">
        <w:t>Ниже среднего значения заработная плата в таких видах деятельности как: «водоснабжение; водоотведение, организация сбора и утилизации отходов, деятельность по ликвидации загрязнений» - 43 214,40 рублей (61,3 %), «образование» – 60 290,10 рублей (85,5 %), «деятельность по операциям с недвижимым имуществом» – 52 241,00 рублей (74,1 %), «деятельность в области здравоохранения и социальных услуг» – 52 931,40 рубль (75,1 %), «деятельность в области культуры, спорта, организации досуга и развлечений» – 56 624,40 рублей (80,3 %).</w:t>
      </w:r>
    </w:p>
    <w:p w:rsidR="00A7123E" w:rsidRPr="00A7123E" w:rsidRDefault="00A7123E" w:rsidP="00A7123E">
      <w:pPr>
        <w:tabs>
          <w:tab w:val="left" w:pos="9639"/>
        </w:tabs>
        <w:spacing w:line="276" w:lineRule="auto"/>
        <w:ind w:firstLine="709"/>
        <w:jc w:val="both"/>
      </w:pPr>
      <w:r w:rsidRPr="00A7123E">
        <w:t>По предварительной оценке, среднедушевой денежный доход в номинальном значении за 2021 год составит 50 756,00 рублей в месяц с ростом к 2019 году на 3,9 %. Денежные доходы населения сложатся на уровне 2 374,89 млн. рублей, на 0,8 % выше уровня предыдущего года.</w:t>
      </w:r>
    </w:p>
    <w:p w:rsidR="00A7123E" w:rsidRPr="00A7123E" w:rsidRDefault="00A7123E" w:rsidP="00A7123E">
      <w:pPr>
        <w:tabs>
          <w:tab w:val="left" w:pos="9639"/>
        </w:tabs>
        <w:spacing w:line="276" w:lineRule="auto"/>
        <w:ind w:firstLine="709"/>
        <w:jc w:val="both"/>
      </w:pPr>
      <w:r w:rsidRPr="00A7123E">
        <w:t>Мероприятия социальной политики будут способствовать росту среднего размера назначенной пенсии на 6,1 %, номинальное значение составит 23 127,79 рублей. По оценочным данным в 2021 году соотношение среднемесячной начисленной пенсии к среднемесячной начисленной заработной плате составит 28,0 %.</w:t>
      </w:r>
    </w:p>
    <w:p w:rsidR="00A7123E" w:rsidRPr="00A7123E" w:rsidRDefault="00A7123E" w:rsidP="00A7123E">
      <w:pPr>
        <w:tabs>
          <w:tab w:val="left" w:pos="9639"/>
        </w:tabs>
        <w:spacing w:line="276" w:lineRule="auto"/>
        <w:ind w:firstLine="709"/>
        <w:jc w:val="both"/>
      </w:pPr>
      <w:r w:rsidRPr="00A7123E">
        <w:t xml:space="preserve">В 2021 году предполагается рост величины прожиточного минимума на 5,4 %. Таким образом, величина прожиточного минимума составит 21 797,00 рублей. </w:t>
      </w:r>
    </w:p>
    <w:p w:rsidR="00A7123E" w:rsidRPr="00A7123E" w:rsidRDefault="00A7123E" w:rsidP="00A7123E">
      <w:pPr>
        <w:tabs>
          <w:tab w:val="left" w:pos="9639"/>
        </w:tabs>
        <w:spacing w:line="276" w:lineRule="auto"/>
        <w:ind w:firstLine="709"/>
        <w:jc w:val="both"/>
      </w:pPr>
      <w:r w:rsidRPr="00A7123E">
        <w:t>Одной из главных социально значимых целей развития общества является обеспечение благополучия и достойной жизни граждан.</w:t>
      </w:r>
    </w:p>
    <w:p w:rsidR="00A7123E" w:rsidRPr="00A7123E" w:rsidRDefault="00A7123E" w:rsidP="00A7123E">
      <w:pPr>
        <w:tabs>
          <w:tab w:val="left" w:pos="9639"/>
        </w:tabs>
        <w:spacing w:line="276" w:lineRule="auto"/>
        <w:ind w:firstLine="709"/>
        <w:jc w:val="both"/>
      </w:pPr>
      <w:r w:rsidRPr="00A7123E">
        <w:t>Средний размер пенсии в 2024 году ожидается на уровне 26 128,46 рублей. Номинальный рост составит 104.2 % к уровню 2019 года.</w:t>
      </w:r>
    </w:p>
    <w:p w:rsidR="00A7123E" w:rsidRPr="00A7123E" w:rsidRDefault="00A7123E" w:rsidP="00A7123E">
      <w:pPr>
        <w:tabs>
          <w:tab w:val="left" w:pos="9639"/>
        </w:tabs>
        <w:spacing w:line="276" w:lineRule="auto"/>
        <w:ind w:firstLine="709"/>
        <w:jc w:val="both"/>
      </w:pPr>
      <w:r w:rsidRPr="00A7123E">
        <w:t>Прогноз денежных доходов и расходов населения в 2020 году отражает результаты реализации основных целей социальной государственной, региональной и муниципальной политики в этом периоде. Номинальное значение среднедушевого денежного дохода к 2024 году составит 55 128,00 рублей в месяц с приростом к уровню 2019 года на 17,2 %. Общая сумма доходов сложится в размере 2 661,97 млн. рублей.</w:t>
      </w:r>
    </w:p>
    <w:p w:rsidR="00A7123E" w:rsidRPr="00A7123E" w:rsidRDefault="00A7123E" w:rsidP="00A7123E">
      <w:pPr>
        <w:spacing w:line="276" w:lineRule="auto"/>
        <w:ind w:firstLine="567"/>
        <w:jc w:val="center"/>
        <w:rPr>
          <w:b/>
          <w:i/>
          <w:szCs w:val="28"/>
        </w:rPr>
      </w:pPr>
    </w:p>
    <w:p w:rsidR="00A7123E" w:rsidRPr="00A7123E" w:rsidRDefault="00A7123E" w:rsidP="00A7123E">
      <w:pPr>
        <w:spacing w:line="276" w:lineRule="auto"/>
        <w:ind w:firstLine="567"/>
        <w:jc w:val="center"/>
        <w:rPr>
          <w:b/>
          <w:i/>
        </w:rPr>
      </w:pPr>
      <w:r w:rsidRPr="00A7123E">
        <w:rPr>
          <w:b/>
          <w:i/>
        </w:rPr>
        <w:t>Труд и занятость</w:t>
      </w:r>
    </w:p>
    <w:p w:rsidR="00A7123E" w:rsidRPr="00A7123E" w:rsidRDefault="00A7123E" w:rsidP="00A7123E">
      <w:pPr>
        <w:autoSpaceDE w:val="0"/>
        <w:autoSpaceDN w:val="0"/>
        <w:adjustRightInd w:val="0"/>
        <w:ind w:firstLine="495"/>
        <w:jc w:val="both"/>
      </w:pPr>
      <w:r w:rsidRPr="00A7123E">
        <w:rPr>
          <w:color w:val="000000"/>
        </w:rPr>
        <w:t>В 2020 году в центр занятости населения 39 работодателей осуществляющих деятельность на территории муниципального образования заявили сведения о потребности в работниках на 680 вакантных должностей, что составило 93% от общего количества вакансий, поданных в центр занятости населения в 2019 году.</w:t>
      </w:r>
    </w:p>
    <w:p w:rsidR="00A7123E" w:rsidRPr="00A7123E" w:rsidRDefault="00A7123E" w:rsidP="00A7123E">
      <w:pPr>
        <w:ind w:firstLine="709"/>
        <w:jc w:val="both"/>
      </w:pPr>
      <w:r w:rsidRPr="00A7123E">
        <w:t>Доля трудоустроенных граждан в общей численности обратившихся составила 65,4 (63,</w:t>
      </w:r>
      <w:proofErr w:type="gramStart"/>
      <w:r w:rsidRPr="00A7123E">
        <w:t>6 )</w:t>
      </w:r>
      <w:proofErr w:type="gramEnd"/>
      <w:r w:rsidRPr="00A7123E">
        <w:t>%.</w:t>
      </w:r>
    </w:p>
    <w:p w:rsidR="00A7123E" w:rsidRPr="00A7123E" w:rsidRDefault="00A7123E" w:rsidP="00A7123E">
      <w:pPr>
        <w:ind w:firstLine="708"/>
        <w:jc w:val="both"/>
      </w:pPr>
      <w:r w:rsidRPr="00A7123E">
        <w:t xml:space="preserve">Реализация мероприятий активной политики занятости населения </w:t>
      </w:r>
      <w:r w:rsidRPr="00A7123E">
        <w:rPr>
          <w:bCs/>
        </w:rPr>
        <w:t xml:space="preserve">муниципальной программы «Содействия занятости населения Усть-Большерецкого района» обеспечила </w:t>
      </w:r>
      <w:r w:rsidRPr="00A7123E">
        <w:t>трудоустройство в 2020 году 272 (328) человек, обратившихся за содействием в поиске походящей работы, в том числе:</w:t>
      </w:r>
    </w:p>
    <w:p w:rsidR="00A7123E" w:rsidRPr="00A7123E" w:rsidRDefault="00A7123E" w:rsidP="00A7123E">
      <w:pPr>
        <w:tabs>
          <w:tab w:val="left" w:pos="993"/>
        </w:tabs>
        <w:ind w:firstLine="720"/>
        <w:jc w:val="both"/>
        <w:rPr>
          <w:bCs/>
        </w:rPr>
      </w:pPr>
      <w:r w:rsidRPr="00A7123E">
        <w:t xml:space="preserve">- организовано временное </w:t>
      </w:r>
      <w:r w:rsidRPr="00A7123E">
        <w:rPr>
          <w:bCs/>
        </w:rPr>
        <w:t>трудоустройство</w:t>
      </w:r>
      <w:r w:rsidRPr="00A7123E">
        <w:t xml:space="preserve"> 10 (9) безработных граждан </w:t>
      </w:r>
      <w:r w:rsidRPr="00A7123E">
        <w:rPr>
          <w:bCs/>
        </w:rPr>
        <w:t>испытывающих трудности в поиске работы;</w:t>
      </w:r>
    </w:p>
    <w:p w:rsidR="00A7123E" w:rsidRPr="00A7123E" w:rsidRDefault="00A7123E" w:rsidP="00A7123E">
      <w:pPr>
        <w:tabs>
          <w:tab w:val="left" w:pos="993"/>
        </w:tabs>
        <w:ind w:firstLine="720"/>
        <w:jc w:val="both"/>
      </w:pPr>
      <w:r w:rsidRPr="00A7123E">
        <w:rPr>
          <w:bCs/>
        </w:rPr>
        <w:t xml:space="preserve">- организация общественных работ – </w:t>
      </w:r>
      <w:r w:rsidRPr="00A7123E">
        <w:t>92 (75) человек;</w:t>
      </w:r>
    </w:p>
    <w:p w:rsidR="00A7123E" w:rsidRPr="00A7123E" w:rsidRDefault="00A7123E" w:rsidP="00A7123E">
      <w:pPr>
        <w:tabs>
          <w:tab w:val="left" w:pos="993"/>
        </w:tabs>
        <w:ind w:firstLine="720"/>
        <w:jc w:val="both"/>
      </w:pPr>
      <w:r w:rsidRPr="00A7123E">
        <w:t>- государственная услуга по самозанятости безработных граждан оказана 13 (13) человекам;</w:t>
      </w:r>
    </w:p>
    <w:p w:rsidR="00A7123E" w:rsidRPr="00A7123E" w:rsidRDefault="00A7123E" w:rsidP="00A7123E">
      <w:pPr>
        <w:tabs>
          <w:tab w:val="left" w:pos="993"/>
        </w:tabs>
        <w:ind w:firstLine="720"/>
        <w:jc w:val="both"/>
      </w:pPr>
      <w:r w:rsidRPr="00A7123E">
        <w:t>- одному (1) безработному гражданину оказано содействие в переселении в другую местность на новое место жительства для трудоустройства, по направлению органов службы занятости;</w:t>
      </w:r>
    </w:p>
    <w:p w:rsidR="00A7123E" w:rsidRPr="00A7123E" w:rsidRDefault="00A7123E" w:rsidP="00A7123E">
      <w:pPr>
        <w:tabs>
          <w:tab w:val="left" w:pos="993"/>
        </w:tabs>
        <w:ind w:firstLine="720"/>
        <w:jc w:val="both"/>
        <w:rPr>
          <w:bCs/>
        </w:rPr>
      </w:pPr>
      <w:r w:rsidRPr="00A7123E">
        <w:rPr>
          <w:bCs/>
        </w:rPr>
        <w:t>В целях выбора сферы деятельности, повышения мотивации к труду, преодоления социально-психологических проблем последствий безработицы:</w:t>
      </w:r>
    </w:p>
    <w:p w:rsidR="00A7123E" w:rsidRPr="00A7123E" w:rsidRDefault="00A7123E" w:rsidP="00A7123E">
      <w:pPr>
        <w:tabs>
          <w:tab w:val="left" w:pos="993"/>
        </w:tabs>
        <w:ind w:firstLine="720"/>
        <w:jc w:val="both"/>
      </w:pPr>
      <w:r w:rsidRPr="00A7123E">
        <w:t xml:space="preserve">- государственная услуга по </w:t>
      </w:r>
      <w:r w:rsidRPr="00A7123E">
        <w:rPr>
          <w:bCs/>
        </w:rPr>
        <w:t>профессиональной ориентации</w:t>
      </w:r>
      <w:r w:rsidRPr="00A7123E">
        <w:t xml:space="preserve"> оказана 343 (389) </w:t>
      </w:r>
      <w:r w:rsidRPr="00A7123E">
        <w:rPr>
          <w:bCs/>
        </w:rPr>
        <w:t>гражданам</w:t>
      </w:r>
      <w:r w:rsidRPr="00A7123E">
        <w:t>;</w:t>
      </w:r>
    </w:p>
    <w:p w:rsidR="00A7123E" w:rsidRPr="00A7123E" w:rsidRDefault="00A7123E" w:rsidP="00A7123E">
      <w:pPr>
        <w:tabs>
          <w:tab w:val="left" w:pos="993"/>
        </w:tabs>
        <w:ind w:firstLine="720"/>
        <w:jc w:val="both"/>
      </w:pPr>
      <w:r w:rsidRPr="00A7123E">
        <w:t xml:space="preserve">- государственная услуга по </w:t>
      </w:r>
      <w:r w:rsidRPr="00A7123E">
        <w:rPr>
          <w:bCs/>
        </w:rPr>
        <w:t>социальной адаптации оказана 45 (45) безработным</w:t>
      </w:r>
      <w:r w:rsidRPr="00A7123E">
        <w:t xml:space="preserve"> гражданам;</w:t>
      </w:r>
    </w:p>
    <w:p w:rsidR="00A7123E" w:rsidRPr="00A7123E" w:rsidRDefault="00A7123E" w:rsidP="00A7123E">
      <w:pPr>
        <w:tabs>
          <w:tab w:val="left" w:pos="993"/>
        </w:tabs>
        <w:ind w:firstLine="720"/>
        <w:jc w:val="both"/>
      </w:pPr>
      <w:r w:rsidRPr="00A7123E">
        <w:t xml:space="preserve">- государственную услугу по психологической поддержке получили 45(45) безработных граждан. </w:t>
      </w:r>
    </w:p>
    <w:p w:rsidR="00A7123E" w:rsidRPr="00A7123E" w:rsidRDefault="00A7123E" w:rsidP="00A7123E">
      <w:pPr>
        <w:tabs>
          <w:tab w:val="left" w:pos="993"/>
        </w:tabs>
        <w:ind w:firstLine="720"/>
        <w:jc w:val="both"/>
      </w:pPr>
      <w:r w:rsidRPr="00A7123E">
        <w:t>На профессиональное обучение и дополнительное профессиональное образование органами службы занятости направлено 42 (37) человека, в том числе:</w:t>
      </w:r>
    </w:p>
    <w:p w:rsidR="00A7123E" w:rsidRPr="00A7123E" w:rsidRDefault="00A7123E" w:rsidP="00A7123E">
      <w:pPr>
        <w:tabs>
          <w:tab w:val="left" w:pos="993"/>
        </w:tabs>
        <w:ind w:firstLine="720"/>
        <w:jc w:val="both"/>
      </w:pPr>
      <w:r w:rsidRPr="00A7123E">
        <w:t>- на профессиональное обучение и дополнительное профессиональное образование безработных граждан – 39 человек;</w:t>
      </w:r>
    </w:p>
    <w:p w:rsidR="00A7123E" w:rsidRPr="00A7123E" w:rsidRDefault="00A7123E" w:rsidP="00A7123E">
      <w:pPr>
        <w:tabs>
          <w:tab w:val="left" w:pos="993"/>
        </w:tabs>
        <w:ind w:firstLine="720"/>
        <w:jc w:val="both"/>
      </w:pPr>
      <w:r w:rsidRPr="00A7123E">
        <w:t>-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 2 человека;</w:t>
      </w:r>
    </w:p>
    <w:p w:rsidR="00A7123E" w:rsidRPr="00A7123E" w:rsidRDefault="00A7123E" w:rsidP="00A7123E">
      <w:pPr>
        <w:tabs>
          <w:tab w:val="left" w:pos="993"/>
        </w:tabs>
        <w:ind w:firstLine="720"/>
        <w:jc w:val="both"/>
      </w:pPr>
      <w:r w:rsidRPr="00A7123E">
        <w:t>- на профессиональное обучение и дополнительное профессиональное образование незанятых граждан, которым назначена трудовая пенсия по старости и которые стремятся возобновить трудовую деятельность – 1 человек.</w:t>
      </w:r>
    </w:p>
    <w:p w:rsidR="00A7123E" w:rsidRPr="00A7123E" w:rsidRDefault="00A7123E" w:rsidP="00A7123E">
      <w:pPr>
        <w:tabs>
          <w:tab w:val="left" w:pos="993"/>
        </w:tabs>
        <w:ind w:firstLine="720"/>
        <w:jc w:val="both"/>
      </w:pPr>
      <w:r w:rsidRPr="00A7123E">
        <w:t>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"Демография"- 4 женщины;</w:t>
      </w:r>
    </w:p>
    <w:p w:rsidR="00A7123E" w:rsidRPr="00A7123E" w:rsidRDefault="00A7123E" w:rsidP="00A7123E">
      <w:pPr>
        <w:tabs>
          <w:tab w:val="left" w:pos="993"/>
        </w:tabs>
        <w:ind w:firstLine="720"/>
        <w:jc w:val="both"/>
      </w:pPr>
      <w:proofErr w:type="gramStart"/>
      <w:r w:rsidRPr="00A7123E">
        <w:t>в</w:t>
      </w:r>
      <w:proofErr w:type="gramEnd"/>
      <w:r w:rsidRPr="00A7123E">
        <w:t xml:space="preserve"> рамках федерального проекта "Старшее поколение" национального проекта "Демография" – 2 гражданина предпенсионного возраста;</w:t>
      </w:r>
    </w:p>
    <w:p w:rsidR="00A7123E" w:rsidRPr="00A7123E" w:rsidRDefault="00A7123E" w:rsidP="00A7123E">
      <w:pPr>
        <w:tabs>
          <w:tab w:val="left" w:pos="993"/>
        </w:tabs>
        <w:ind w:firstLine="720"/>
        <w:jc w:val="both"/>
      </w:pPr>
      <w:proofErr w:type="gramStart"/>
      <w:r w:rsidRPr="00A7123E">
        <w:t>в</w:t>
      </w:r>
      <w:proofErr w:type="gramEnd"/>
      <w:r w:rsidRPr="00A7123E">
        <w:t xml:space="preserve"> рамках федерального проекта "Старшее поколение" национального проекта "Демография" – 6 граждан возрасте 50-ти лет и старше - ищущих работу.</w:t>
      </w:r>
    </w:p>
    <w:p w:rsidR="00A7123E" w:rsidRPr="00A7123E" w:rsidRDefault="00A7123E" w:rsidP="00A7123E">
      <w:pPr>
        <w:tabs>
          <w:tab w:val="left" w:pos="993"/>
        </w:tabs>
        <w:ind w:firstLine="720"/>
        <w:jc w:val="both"/>
      </w:pPr>
      <w:r w:rsidRPr="00A7123E">
        <w:rPr>
          <w:bCs/>
        </w:rPr>
        <w:t>В 2020 году</w:t>
      </w:r>
      <w:r w:rsidRPr="00A7123E">
        <w:t xml:space="preserve"> проведено </w:t>
      </w:r>
      <w:r w:rsidRPr="00A7123E">
        <w:rPr>
          <w:bCs/>
        </w:rPr>
        <w:t>4 мини- ярмарки вакансий.</w:t>
      </w:r>
    </w:p>
    <w:p w:rsidR="00A7123E" w:rsidRPr="00A7123E" w:rsidRDefault="00A7123E" w:rsidP="00A7123E">
      <w:pPr>
        <w:ind w:firstLine="708"/>
        <w:jc w:val="both"/>
      </w:pPr>
      <w:r w:rsidRPr="00A7123E">
        <w:t xml:space="preserve">На постоянной основе проводится работа, обеспечивающая доступность и популяризацию информационно-аналитической системы Общероссийская база вакансий «Работа в России». </w:t>
      </w:r>
    </w:p>
    <w:p w:rsidR="00A7123E" w:rsidRPr="00A7123E" w:rsidRDefault="00A7123E" w:rsidP="00A7123E">
      <w:pPr>
        <w:ind w:firstLine="709"/>
        <w:jc w:val="both"/>
      </w:pPr>
      <w:r w:rsidRPr="00A7123E">
        <w:t>Доля трудоустроенных граждан в общей численности обратившихся составила 65,4 (63,6) %.</w:t>
      </w:r>
    </w:p>
    <w:p w:rsidR="00A7123E" w:rsidRPr="00A7123E" w:rsidRDefault="00A7123E" w:rsidP="00A7123E">
      <w:pPr>
        <w:ind w:firstLine="708"/>
        <w:jc w:val="both"/>
      </w:pPr>
      <w:r w:rsidRPr="00A7123E">
        <w:t>Уровень зарегистрированной безработицы составил – 6,0% (5,3%) в 2019 году).</w:t>
      </w:r>
    </w:p>
    <w:p w:rsidR="00A7123E" w:rsidRPr="00A7123E" w:rsidRDefault="00A7123E" w:rsidP="00A7123E">
      <w:pPr>
        <w:ind w:firstLine="708"/>
        <w:jc w:val="both"/>
      </w:pPr>
      <w:r w:rsidRPr="00A7123E">
        <w:t>В целях привлечения вакансий в службу занятости населения проводились следующие мероприятия:</w:t>
      </w:r>
    </w:p>
    <w:p w:rsidR="00A7123E" w:rsidRPr="00A7123E" w:rsidRDefault="00A7123E" w:rsidP="00A7123E">
      <w:pPr>
        <w:ind w:firstLine="495"/>
        <w:jc w:val="both"/>
        <w:rPr>
          <w:bCs/>
        </w:rPr>
      </w:pPr>
      <w:r w:rsidRPr="00A7123E">
        <w:t>- проведено три дискуссионные площадки, 22 рабочие встречи в которых принимали участие представители центра службы занятости населения, администрации Усть-Большерецкого МР, представители бизнес-сообществ. В процессе работы обсуждались вопросы взаимодействия службы занятости населения и работодателей, способы подбора и подготовки необходимых трудовых ресурсов.</w:t>
      </w:r>
    </w:p>
    <w:p w:rsidR="00A7123E" w:rsidRPr="00A7123E" w:rsidRDefault="00A7123E" w:rsidP="00A7123E">
      <w:pPr>
        <w:autoSpaceDE w:val="0"/>
        <w:autoSpaceDN w:val="0"/>
        <w:adjustRightInd w:val="0"/>
        <w:ind w:firstLine="709"/>
        <w:jc w:val="both"/>
      </w:pPr>
      <w:r w:rsidRPr="00A7123E">
        <w:rPr>
          <w:bCs/>
        </w:rPr>
        <w:lastRenderedPageBreak/>
        <w:t xml:space="preserve">- </w:t>
      </w:r>
      <w:r w:rsidRPr="00A7123E">
        <w:t>изготавливались и распространялись буклеты и брошюры (200 штук) для работодателей.</w:t>
      </w:r>
    </w:p>
    <w:p w:rsidR="00A7123E" w:rsidRPr="00A7123E" w:rsidRDefault="00A7123E" w:rsidP="00A7123E">
      <w:pPr>
        <w:autoSpaceDE w:val="0"/>
        <w:autoSpaceDN w:val="0"/>
        <w:adjustRightInd w:val="0"/>
        <w:ind w:firstLine="709"/>
        <w:jc w:val="both"/>
      </w:pPr>
      <w:r w:rsidRPr="00A7123E">
        <w:t xml:space="preserve">- </w:t>
      </w:r>
      <w:r w:rsidRPr="00A7123E">
        <w:rPr>
          <w:bCs/>
        </w:rPr>
        <w:t xml:space="preserve"> работодатели информированы через районную газету «Ударник», официальный сайт администрации Усть-Большерецкого МР, </w:t>
      </w:r>
      <w:r w:rsidRPr="00A7123E">
        <w:t>о квотировании рабочих мест для граждан, испытывающих трудности в поиске работы, о высвобождении работников, о необходимости соблюдения работодателями требований ст. 25 Закона Российской Федерации «О занятости населения в Российской Федерации».</w:t>
      </w:r>
    </w:p>
    <w:p w:rsidR="00A7123E" w:rsidRPr="00A7123E" w:rsidRDefault="00A7123E" w:rsidP="00A7123E">
      <w:pPr>
        <w:autoSpaceDE w:val="0"/>
        <w:autoSpaceDN w:val="0"/>
        <w:adjustRightInd w:val="0"/>
        <w:ind w:firstLine="709"/>
        <w:jc w:val="both"/>
      </w:pPr>
      <w:r w:rsidRPr="00A7123E">
        <w:t>- организовано</w:t>
      </w:r>
      <w:r w:rsidRPr="00A7123E">
        <w:rPr>
          <w:bCs/>
        </w:rPr>
        <w:t xml:space="preserve"> более 80 личных посещении кадровых служб и встреч с руководством организаций,</w:t>
      </w:r>
      <w:r w:rsidRPr="00A7123E">
        <w:t xml:space="preserve"> в целях информирования о способах подбора необходимых работников, о возможности организации оплачиваемых общественных работ, временной занятости граждан испытывающих трудности в поиске работы и несовершеннолетних граждан в свободное от учебы время.</w:t>
      </w:r>
    </w:p>
    <w:p w:rsidR="00A7123E" w:rsidRPr="00A7123E" w:rsidRDefault="00A7123E" w:rsidP="00A7123E">
      <w:pPr>
        <w:autoSpaceDE w:val="0"/>
        <w:autoSpaceDN w:val="0"/>
        <w:adjustRightInd w:val="0"/>
        <w:ind w:firstLine="709"/>
        <w:jc w:val="both"/>
      </w:pPr>
      <w:r w:rsidRPr="00A7123E">
        <w:t>- организована работа мобильного центра занятости населения.</w:t>
      </w:r>
    </w:p>
    <w:p w:rsidR="00A7123E" w:rsidRPr="00A7123E" w:rsidRDefault="00A7123E" w:rsidP="00A7123E">
      <w:pPr>
        <w:ind w:firstLine="709"/>
        <w:jc w:val="both"/>
      </w:pPr>
      <w:r w:rsidRPr="00A7123E">
        <w:t>- в рамках государственной услуги по содействию безработным гражданам и членам их семей в переселении в другую местность для трудоустройства по направлению органов службы занятости решен вопрос о трудоустройстве учителя, прибывшего из Тюменской области, в школу с. Усть-Большерецк.</w:t>
      </w:r>
    </w:p>
    <w:p w:rsidR="00A7123E" w:rsidRPr="00A7123E" w:rsidRDefault="00A7123E" w:rsidP="00A7123E">
      <w:pPr>
        <w:ind w:firstLine="675"/>
        <w:jc w:val="both"/>
      </w:pPr>
      <w:r w:rsidRPr="00A7123E">
        <w:t xml:space="preserve">Проведение дискуссионных площадок, встреч с руководством и представителей кадровых служб предприятий информации о порядке предоставления государственных услуг в сфере содействия занятости населения, порядке регистрации в органах службы занятости населения, а также требований трудового законодательства (проведено 22 встречи) с участием более 20 работодателей. </w:t>
      </w:r>
    </w:p>
    <w:p w:rsidR="00A7123E" w:rsidRPr="00A7123E" w:rsidRDefault="00A7123E" w:rsidP="00A7123E">
      <w:pPr>
        <w:ind w:firstLine="675"/>
        <w:jc w:val="both"/>
      </w:pPr>
      <w:r w:rsidRPr="00A7123E">
        <w:t>В 2020 году был заключен 72 (в 2019 году - 58) договоров.</w:t>
      </w:r>
    </w:p>
    <w:p w:rsidR="00A7123E" w:rsidRPr="00A7123E" w:rsidRDefault="00A7123E" w:rsidP="00A7123E">
      <w:pPr>
        <w:ind w:firstLine="675"/>
        <w:jc w:val="both"/>
      </w:pPr>
      <w:r w:rsidRPr="00A7123E">
        <w:t xml:space="preserve"> В рамках заключенных договоров было направлено для участия в общественных работах и приступили к ним 92 человек (в 2019 году – 90 человек), из них 23 человек не получали пособие по безработице (в 2019 г. – 19 человек), 12   человек после длительного перерыва (в 2019г. – 6 человек). Завершили участие в общественных работах 92 человек. 92 человека (74 человека в 2019 году) получили услугу по предложению специалистов Центра занятости населения.</w:t>
      </w:r>
    </w:p>
    <w:p w:rsidR="00A7123E" w:rsidRPr="00A7123E" w:rsidRDefault="00A7123E" w:rsidP="00A7123E">
      <w:pPr>
        <w:ind w:firstLine="709"/>
        <w:jc w:val="both"/>
      </w:pPr>
      <w:r w:rsidRPr="00A7123E">
        <w:t>На организацию оплачиваемых общественных работ в 2020 году израсходовано:</w:t>
      </w:r>
    </w:p>
    <w:p w:rsidR="00A7123E" w:rsidRPr="00A7123E" w:rsidRDefault="00A7123E" w:rsidP="00A7123E">
      <w:pPr>
        <w:ind w:firstLine="709"/>
        <w:jc w:val="both"/>
      </w:pPr>
      <w:r w:rsidRPr="00A7123E">
        <w:t>Средства краевого бюджета – 273,9 тыс. рублей;</w:t>
      </w:r>
    </w:p>
    <w:p w:rsidR="00A7123E" w:rsidRPr="00A7123E" w:rsidRDefault="00A7123E" w:rsidP="00A7123E">
      <w:pPr>
        <w:ind w:firstLine="709"/>
        <w:jc w:val="both"/>
      </w:pPr>
      <w:r w:rsidRPr="00A7123E">
        <w:t>Средства районного бюджета –1 345,5 тыс. рублей;</w:t>
      </w:r>
    </w:p>
    <w:p w:rsidR="00A7123E" w:rsidRPr="00A7123E" w:rsidRDefault="00A7123E" w:rsidP="00A7123E">
      <w:pPr>
        <w:ind w:firstLine="709"/>
        <w:jc w:val="both"/>
      </w:pPr>
      <w:r w:rsidRPr="00A7123E">
        <w:t>Средства работодателей – 1 272,5 тыс. рублей.</w:t>
      </w:r>
    </w:p>
    <w:p w:rsidR="00A7123E" w:rsidRPr="00A7123E" w:rsidRDefault="00A7123E" w:rsidP="00A7123E">
      <w:pPr>
        <w:pStyle w:val="af3"/>
        <w:autoSpaceDE w:val="0"/>
        <w:autoSpaceDN w:val="0"/>
        <w:adjustRightInd w:val="0"/>
        <w:spacing w:after="0"/>
        <w:ind w:left="0" w:firstLine="675"/>
        <w:jc w:val="both"/>
        <w:outlineLvl w:val="1"/>
        <w:rPr>
          <w:rFonts w:ascii="Times New Roman" w:hAnsi="Times New Roman" w:cs="Times New Roman"/>
          <w:sz w:val="24"/>
          <w:szCs w:val="24"/>
        </w:rPr>
      </w:pPr>
      <w:r w:rsidRPr="00A7123E">
        <w:rPr>
          <w:rFonts w:ascii="Times New Roman" w:hAnsi="Times New Roman" w:cs="Times New Roman"/>
          <w:sz w:val="24"/>
          <w:szCs w:val="24"/>
        </w:rPr>
        <w:t xml:space="preserve">В рамках проводимых мероприятий активной политики занятости за 2020 год для граждан испытывающих трудности в поиске работы заключено 10 договоров с организациями различных форм собственности (в 2019 году - 9 договоров). </w:t>
      </w:r>
    </w:p>
    <w:p w:rsidR="00A7123E" w:rsidRPr="00A7123E" w:rsidRDefault="00A7123E" w:rsidP="00A7123E">
      <w:pPr>
        <w:pStyle w:val="21"/>
        <w:spacing w:after="0" w:line="240" w:lineRule="auto"/>
        <w:ind w:firstLine="675"/>
        <w:jc w:val="both"/>
      </w:pPr>
      <w:r w:rsidRPr="00A7123E">
        <w:t xml:space="preserve">Для временного трудоустройства из числа безработных граждан направлено 10 человек. Приступили к работе 10 человек (в 2019 году – 9 человек). </w:t>
      </w:r>
    </w:p>
    <w:p w:rsidR="00A7123E" w:rsidRPr="00A7123E" w:rsidRDefault="00A7123E" w:rsidP="00A7123E">
      <w:pPr>
        <w:ind w:firstLine="709"/>
        <w:contextualSpacing/>
        <w:jc w:val="both"/>
      </w:pPr>
      <w:r w:rsidRPr="00A7123E">
        <w:t>На организацию временной занятости 10 граждан, испытывающих трудности в поиске работы израсходовано:</w:t>
      </w:r>
    </w:p>
    <w:p w:rsidR="00A7123E" w:rsidRPr="00A7123E" w:rsidRDefault="00A7123E" w:rsidP="00A7123E">
      <w:pPr>
        <w:ind w:firstLine="709"/>
        <w:jc w:val="both"/>
      </w:pPr>
      <w:proofErr w:type="gramStart"/>
      <w:r w:rsidRPr="00A7123E">
        <w:t>средства</w:t>
      </w:r>
      <w:proofErr w:type="gramEnd"/>
      <w:r w:rsidRPr="00A7123E">
        <w:t xml:space="preserve"> краевого бюджета – 27,8 тыс. рублей;</w:t>
      </w:r>
    </w:p>
    <w:p w:rsidR="00A7123E" w:rsidRPr="00A7123E" w:rsidRDefault="00A7123E" w:rsidP="00A7123E">
      <w:pPr>
        <w:ind w:firstLine="709"/>
        <w:jc w:val="both"/>
      </w:pPr>
      <w:proofErr w:type="gramStart"/>
      <w:r w:rsidRPr="00A7123E">
        <w:t>средства</w:t>
      </w:r>
      <w:proofErr w:type="gramEnd"/>
      <w:r w:rsidRPr="00A7123E">
        <w:t xml:space="preserve"> районного бюджета –205,2 тыс. рублей;</w:t>
      </w:r>
    </w:p>
    <w:p w:rsidR="00A7123E" w:rsidRPr="00A7123E" w:rsidRDefault="00A7123E" w:rsidP="00A7123E">
      <w:pPr>
        <w:ind w:firstLine="567"/>
        <w:jc w:val="both"/>
      </w:pPr>
      <w:r w:rsidRPr="00A7123E">
        <w:t xml:space="preserve">Организация временного трудоустройства несовершеннолетних граждан в возрасте от 14 до 18 лет в свободное от учёбы время центром занятости населения не проводилось из-за </w:t>
      </w:r>
      <w:proofErr w:type="spellStart"/>
      <w:r w:rsidRPr="00A7123E">
        <w:t>короновирусной</w:t>
      </w:r>
      <w:proofErr w:type="spellEnd"/>
      <w:r w:rsidRPr="00A7123E">
        <w:t xml:space="preserve"> инфекции.</w:t>
      </w:r>
    </w:p>
    <w:p w:rsidR="00A7123E" w:rsidRPr="00A7123E" w:rsidRDefault="00A7123E" w:rsidP="00A7123E">
      <w:pPr>
        <w:ind w:firstLine="567"/>
        <w:jc w:val="both"/>
      </w:pPr>
      <w:r w:rsidRPr="00A7123E">
        <w:t>В 2020 году проводились социальные выплаты 1032   безработным гражданам, что на 7,3 % меньше 2019 года (1113 человек).</w:t>
      </w:r>
    </w:p>
    <w:p w:rsidR="00A7123E" w:rsidRPr="00A7123E" w:rsidRDefault="00A7123E" w:rsidP="00A7123E"/>
    <w:p w:rsidR="00A7123E" w:rsidRPr="00A7123E" w:rsidRDefault="00A7123E" w:rsidP="00A7123E">
      <w:pPr>
        <w:spacing w:line="276" w:lineRule="auto"/>
        <w:ind w:firstLine="708"/>
        <w:jc w:val="center"/>
        <w:rPr>
          <w:b/>
          <w:i/>
          <w:szCs w:val="28"/>
        </w:rPr>
      </w:pPr>
      <w:r w:rsidRPr="00A7123E">
        <w:rPr>
          <w:b/>
          <w:i/>
          <w:szCs w:val="28"/>
        </w:rPr>
        <w:t>Развитие социальной сферы</w:t>
      </w:r>
    </w:p>
    <w:p w:rsidR="00A7123E" w:rsidRPr="00A7123E" w:rsidRDefault="00A7123E" w:rsidP="00A7123E">
      <w:pPr>
        <w:spacing w:line="276" w:lineRule="auto"/>
        <w:ind w:firstLine="708"/>
        <w:rPr>
          <w:b/>
          <w:bCs/>
          <w:i/>
          <w:iCs/>
        </w:rPr>
      </w:pPr>
    </w:p>
    <w:p w:rsidR="00A7123E" w:rsidRPr="00A7123E" w:rsidRDefault="00A7123E" w:rsidP="00A7123E">
      <w:pPr>
        <w:spacing w:line="276" w:lineRule="auto"/>
        <w:ind w:firstLine="708"/>
        <w:rPr>
          <w:b/>
          <w:bCs/>
          <w:i/>
          <w:iCs/>
        </w:rPr>
      </w:pPr>
      <w:r w:rsidRPr="00A7123E">
        <w:rPr>
          <w:b/>
          <w:bCs/>
          <w:i/>
          <w:iCs/>
        </w:rPr>
        <w:t>Культура</w:t>
      </w:r>
    </w:p>
    <w:p w:rsidR="00A7123E" w:rsidRPr="00A7123E" w:rsidRDefault="00A7123E" w:rsidP="00A7123E">
      <w:pPr>
        <w:tabs>
          <w:tab w:val="left" w:pos="9639"/>
        </w:tabs>
        <w:spacing w:line="276" w:lineRule="auto"/>
        <w:ind w:firstLine="709"/>
        <w:jc w:val="both"/>
      </w:pPr>
      <w:r w:rsidRPr="00A7123E">
        <w:t>На 2020 год программой предусмотрено выделение бюджетных ассигнований из средств местного бюджета в размере 105 328,02 тыс. рублей.</w:t>
      </w:r>
    </w:p>
    <w:p w:rsidR="00A7123E" w:rsidRPr="00A7123E" w:rsidRDefault="00A7123E" w:rsidP="00A7123E">
      <w:pPr>
        <w:tabs>
          <w:tab w:val="left" w:pos="9639"/>
        </w:tabs>
        <w:spacing w:line="276" w:lineRule="auto"/>
        <w:ind w:firstLine="709"/>
        <w:jc w:val="both"/>
      </w:pPr>
      <w:r w:rsidRPr="00A7123E">
        <w:t>За 2020 год бюджетные средства освоены в объеме 100 470, 7</w:t>
      </w:r>
      <w:r w:rsidRPr="00A7123E">
        <w:rPr>
          <w:sz w:val="28"/>
          <w:szCs w:val="28"/>
        </w:rPr>
        <w:t xml:space="preserve"> </w:t>
      </w:r>
      <w:r w:rsidRPr="00A7123E">
        <w:t>тыс. рублей, в том числе:</w:t>
      </w:r>
    </w:p>
    <w:p w:rsidR="00A7123E" w:rsidRPr="00A7123E" w:rsidRDefault="00A7123E" w:rsidP="00A7123E">
      <w:pPr>
        <w:tabs>
          <w:tab w:val="left" w:pos="9639"/>
        </w:tabs>
        <w:spacing w:line="276" w:lineRule="auto"/>
        <w:ind w:firstLine="709"/>
        <w:jc w:val="both"/>
      </w:pPr>
      <w:r w:rsidRPr="00A7123E">
        <w:lastRenderedPageBreak/>
        <w:t>- за счет средств местного бюджета – 100 470, 7 тыс. рублей.</w:t>
      </w:r>
    </w:p>
    <w:p w:rsidR="00A7123E" w:rsidRPr="00A7123E" w:rsidRDefault="00A7123E" w:rsidP="00A7123E">
      <w:pPr>
        <w:tabs>
          <w:tab w:val="left" w:pos="9639"/>
        </w:tabs>
        <w:spacing w:line="276" w:lineRule="auto"/>
        <w:ind w:firstLine="709"/>
        <w:jc w:val="both"/>
      </w:pPr>
      <w:r w:rsidRPr="00A7123E">
        <w:t>В рамках данной муниципальной программы:</w:t>
      </w:r>
    </w:p>
    <w:p w:rsidR="00A7123E" w:rsidRPr="00A7123E" w:rsidRDefault="00A7123E" w:rsidP="00A7123E">
      <w:pPr>
        <w:tabs>
          <w:tab w:val="left" w:pos="9639"/>
        </w:tabs>
        <w:spacing w:line="276" w:lineRule="auto"/>
        <w:ind w:firstLine="709"/>
        <w:jc w:val="both"/>
      </w:pPr>
      <w:r w:rsidRPr="00A7123E">
        <w:t xml:space="preserve">- обеспечение деятельности МКУК «Краеведческий музей» Обеспечение деятельности МКУК «Краеведческий музей» Усть-Большерецкого муниципального района утвержденный объем финансирования на 2020 год по данному мероприятию составляет </w:t>
      </w:r>
      <w:r w:rsidRPr="00A7123E">
        <w:rPr>
          <w:i/>
        </w:rPr>
        <w:t xml:space="preserve">6 547, 33  </w:t>
      </w:r>
      <w:r w:rsidRPr="00A7123E">
        <w:t xml:space="preserve">тыс. руб. Фактическое финансирование за 2020 год составило </w:t>
      </w:r>
      <w:r w:rsidRPr="00A7123E">
        <w:rPr>
          <w:i/>
        </w:rPr>
        <w:t xml:space="preserve">6 538, 99005 </w:t>
      </w:r>
      <w:r w:rsidRPr="00A7123E">
        <w:t>тыс. рублей и было направлено на создание условий для совершенствования духовно-нравственного содержания жизни населения Усть-Большерецкого района и обеспечение выравнивания доступа к культурным ценностям и информационным ресурсам разных категорий граждан.</w:t>
      </w:r>
    </w:p>
    <w:p w:rsidR="00A7123E" w:rsidRPr="00A7123E" w:rsidRDefault="00A7123E" w:rsidP="00A7123E">
      <w:pPr>
        <w:tabs>
          <w:tab w:val="left" w:pos="9639"/>
        </w:tabs>
        <w:spacing w:line="276" w:lineRule="auto"/>
        <w:ind w:firstLine="709"/>
        <w:jc w:val="both"/>
      </w:pPr>
      <w:r w:rsidRPr="00A7123E">
        <w:t xml:space="preserve">Укрепление материально-технической базы учреждений культуры, проведение ремонтных работ мероприятие исполнялось в рамках реализации МП "Развитие культуры в Усть-Большерецком муниципальном районе", утвержденной постановлением Администрации Усть-Большерецкого муниципального района от 22.10.2020 № 360. </w:t>
      </w:r>
    </w:p>
    <w:p w:rsidR="00A7123E" w:rsidRPr="00A7123E" w:rsidRDefault="00A7123E" w:rsidP="00A7123E">
      <w:pPr>
        <w:tabs>
          <w:tab w:val="left" w:pos="9639"/>
        </w:tabs>
        <w:spacing w:line="276" w:lineRule="auto"/>
        <w:ind w:firstLine="709"/>
        <w:jc w:val="both"/>
      </w:pPr>
      <w:r w:rsidRPr="00A7123E">
        <w:t>Обеспечение деятельности межпоселенческой библиотечной системы утвержденный объем финансирования на 2020 год по данному мероприятию составляет 29 539,11661 тыс. руб. Фактическое финансирование составило 26 453,42025 тыс. рублей и было направлено на создание условий для совершенствования духовно-нравственного содержания жизни населения Усть-Большерецкого муниципального района и обеспечение выравнивания доступа к культурным ценностям и информационным ресурсам разных категорий граждан.</w:t>
      </w:r>
    </w:p>
    <w:p w:rsidR="00A7123E" w:rsidRPr="00A7123E" w:rsidRDefault="00A7123E" w:rsidP="00A7123E">
      <w:pPr>
        <w:tabs>
          <w:tab w:val="left" w:pos="9639"/>
        </w:tabs>
        <w:spacing w:line="276" w:lineRule="auto"/>
        <w:ind w:firstLine="709"/>
        <w:jc w:val="both"/>
      </w:pPr>
      <w:r w:rsidRPr="00A7123E">
        <w:t>Укрепление материально-технической базы учреждений культуры, На комплектование библиотек (покупка литературы и оформление подписки на периодические издания) из районного бюджета было выделено 543, 9 тыс. рублей. На информатизацию библиотечной деятельности в Усть-Большерецкой МЦБС было потрачено 567,9 тысячи рублей.</w:t>
      </w:r>
    </w:p>
    <w:p w:rsidR="00A7123E" w:rsidRPr="00A7123E" w:rsidRDefault="00A7123E" w:rsidP="00A7123E">
      <w:pPr>
        <w:tabs>
          <w:tab w:val="left" w:pos="9639"/>
        </w:tabs>
        <w:spacing w:line="276" w:lineRule="auto"/>
        <w:ind w:firstLine="709"/>
        <w:jc w:val="both"/>
      </w:pPr>
      <w:r w:rsidRPr="00A7123E">
        <w:t xml:space="preserve">Обеспечение деятельности учреждений дополнительного образования в сфере утвержденный объем финансирования на 2020 год по данному мероприятию составляет </w:t>
      </w:r>
      <w:r w:rsidRPr="00A7123E">
        <w:rPr>
          <w:i/>
        </w:rPr>
        <w:t xml:space="preserve">33 440,14 </w:t>
      </w:r>
      <w:r w:rsidRPr="00A7123E">
        <w:t xml:space="preserve">тыс. руб. Фактическое финансирование составило </w:t>
      </w:r>
      <w:r w:rsidRPr="00A7123E">
        <w:rPr>
          <w:i/>
        </w:rPr>
        <w:t xml:space="preserve">32 855, 9 </w:t>
      </w:r>
      <w:r w:rsidRPr="00A7123E">
        <w:t>тыс. рублей и было направлено на совершенствование системы образования в сфере культуры, направленной на удовлетворение потребностей личности в интеллектуальном, культурном и нравственном развитии.</w:t>
      </w:r>
    </w:p>
    <w:p w:rsidR="00A7123E" w:rsidRPr="00A7123E" w:rsidRDefault="00A7123E" w:rsidP="00A7123E">
      <w:pPr>
        <w:tabs>
          <w:tab w:val="left" w:pos="9639"/>
        </w:tabs>
        <w:spacing w:line="276" w:lineRule="auto"/>
        <w:ind w:firstLine="709"/>
        <w:jc w:val="both"/>
      </w:pPr>
      <w:r w:rsidRPr="00A7123E">
        <w:t xml:space="preserve">Обеспечение деятельности учреждений клубного утвержденный объем финансирования на 2020 год по данному мероприятию составляет </w:t>
      </w:r>
      <w:r w:rsidRPr="00A7123E">
        <w:rPr>
          <w:i/>
        </w:rPr>
        <w:t xml:space="preserve">22 389, 8 </w:t>
      </w:r>
      <w:r w:rsidRPr="00A7123E">
        <w:t xml:space="preserve">тыс. руб. Фактическое финансирование составило </w:t>
      </w:r>
      <w:r w:rsidRPr="00A7123E">
        <w:rPr>
          <w:i/>
        </w:rPr>
        <w:t xml:space="preserve">21 687, 7 </w:t>
      </w:r>
      <w:r w:rsidRPr="00A7123E">
        <w:t>тыс. рублей и было направлено на сохранение и развитие народной традиционной культуры, развитие художественного творчества, повышение доступности и качества организации досуга населения.</w:t>
      </w:r>
    </w:p>
    <w:p w:rsidR="00A7123E" w:rsidRPr="00A7123E" w:rsidRDefault="00A7123E" w:rsidP="00A7123E">
      <w:pPr>
        <w:tabs>
          <w:tab w:val="left" w:pos="9639"/>
        </w:tabs>
        <w:spacing w:line="276" w:lineRule="auto"/>
        <w:ind w:firstLine="709"/>
        <w:jc w:val="both"/>
        <w:rPr>
          <w:b/>
        </w:rPr>
      </w:pPr>
      <w:r w:rsidRPr="00A7123E">
        <w:rPr>
          <w:b/>
        </w:rPr>
        <w:t>Физическая культура и спорт</w:t>
      </w:r>
    </w:p>
    <w:p w:rsidR="00A7123E" w:rsidRPr="00A7123E" w:rsidRDefault="00A7123E" w:rsidP="00A7123E">
      <w:pPr>
        <w:tabs>
          <w:tab w:val="left" w:pos="9639"/>
        </w:tabs>
        <w:spacing w:line="276" w:lineRule="auto"/>
        <w:ind w:firstLine="709"/>
        <w:jc w:val="both"/>
      </w:pPr>
      <w:r w:rsidRPr="00A7123E">
        <w:t>На 2020 год программой предусмотрено выделение бюджетных ассигнований из средств местного бюджета в размере 800,00 тыс. рублей.</w:t>
      </w:r>
    </w:p>
    <w:p w:rsidR="00A7123E" w:rsidRPr="00A7123E" w:rsidRDefault="00A7123E" w:rsidP="00A7123E">
      <w:pPr>
        <w:tabs>
          <w:tab w:val="left" w:pos="9639"/>
        </w:tabs>
        <w:spacing w:line="276" w:lineRule="auto"/>
        <w:ind w:firstLine="709"/>
        <w:jc w:val="both"/>
      </w:pPr>
      <w:r w:rsidRPr="00A7123E">
        <w:t>За 2020 год бюджетные средства освоены в объеме 772,00</w:t>
      </w:r>
      <w:r w:rsidRPr="00A7123E">
        <w:rPr>
          <w:sz w:val="28"/>
          <w:szCs w:val="28"/>
        </w:rPr>
        <w:t xml:space="preserve"> </w:t>
      </w:r>
      <w:r w:rsidRPr="00A7123E">
        <w:t>тыс. рублей, в том числе:</w:t>
      </w:r>
    </w:p>
    <w:p w:rsidR="00A7123E" w:rsidRPr="00A7123E" w:rsidRDefault="00A7123E" w:rsidP="00A7123E">
      <w:pPr>
        <w:tabs>
          <w:tab w:val="left" w:pos="9639"/>
        </w:tabs>
        <w:spacing w:line="276" w:lineRule="auto"/>
        <w:ind w:firstLine="709"/>
        <w:jc w:val="both"/>
      </w:pPr>
      <w:r w:rsidRPr="00A7123E">
        <w:t>- за счет средств местного бюджета – 772,0 тыс. рублей.</w:t>
      </w:r>
    </w:p>
    <w:p w:rsidR="00A7123E" w:rsidRPr="00A7123E" w:rsidRDefault="00A7123E" w:rsidP="00A7123E">
      <w:pPr>
        <w:tabs>
          <w:tab w:val="left" w:pos="9639"/>
        </w:tabs>
        <w:spacing w:line="276" w:lineRule="auto"/>
        <w:ind w:firstLine="709"/>
        <w:jc w:val="both"/>
      </w:pPr>
    </w:p>
    <w:p w:rsidR="00A7123E" w:rsidRPr="00A7123E" w:rsidRDefault="00A7123E" w:rsidP="00A7123E">
      <w:pPr>
        <w:spacing w:line="276" w:lineRule="auto"/>
        <w:ind w:firstLine="709"/>
        <w:jc w:val="both"/>
      </w:pPr>
      <w:r w:rsidRPr="00A7123E">
        <w:rPr>
          <w:b/>
          <w:bCs/>
          <w:i/>
          <w:iCs/>
        </w:rPr>
        <w:t>Дошкольное, общее и дополнительное образование</w:t>
      </w:r>
    </w:p>
    <w:p w:rsidR="00A7123E" w:rsidRPr="00A7123E" w:rsidRDefault="00A7123E" w:rsidP="00A7123E">
      <w:pPr>
        <w:shd w:val="clear" w:color="auto" w:fill="FFFFFF"/>
        <w:spacing w:before="10" w:line="276" w:lineRule="auto"/>
        <w:ind w:firstLine="709"/>
        <w:jc w:val="both"/>
      </w:pPr>
      <w:r w:rsidRPr="00A7123E">
        <w:t>Образовательная система в Усть-Большерецком муниципальном районе объединяет дошкольное, начальное, основное, общее среднее и дополнительное образование и представлена 13 образовательными организациями:</w:t>
      </w:r>
    </w:p>
    <w:p w:rsidR="00A7123E" w:rsidRPr="00A7123E" w:rsidRDefault="00A7123E" w:rsidP="00A7123E">
      <w:pPr>
        <w:shd w:val="clear" w:color="auto" w:fill="FFFFFF"/>
        <w:spacing w:before="10" w:line="276" w:lineRule="auto"/>
        <w:ind w:firstLine="709"/>
        <w:jc w:val="both"/>
      </w:pPr>
      <w:r w:rsidRPr="00A7123E">
        <w:t xml:space="preserve">4 учреждениями дошкольного образования, </w:t>
      </w:r>
    </w:p>
    <w:p w:rsidR="00A7123E" w:rsidRPr="00A7123E" w:rsidRDefault="00A7123E" w:rsidP="00A7123E">
      <w:pPr>
        <w:shd w:val="clear" w:color="auto" w:fill="FFFFFF"/>
        <w:spacing w:before="10" w:line="276" w:lineRule="auto"/>
        <w:ind w:firstLine="709"/>
        <w:jc w:val="both"/>
      </w:pPr>
      <w:r w:rsidRPr="00A7123E">
        <w:t>6 общеобразовательными школами и 1 вечерней школой,</w:t>
      </w:r>
    </w:p>
    <w:p w:rsidR="00A7123E" w:rsidRPr="00A7123E" w:rsidRDefault="00A7123E" w:rsidP="00A7123E">
      <w:pPr>
        <w:shd w:val="clear" w:color="auto" w:fill="FFFFFF"/>
        <w:spacing w:before="10" w:line="276" w:lineRule="auto"/>
        <w:ind w:firstLine="709"/>
        <w:jc w:val="both"/>
      </w:pPr>
      <w:r w:rsidRPr="00A7123E">
        <w:t>2 учреждениями дополнительного образования.</w:t>
      </w:r>
    </w:p>
    <w:p w:rsidR="00A7123E" w:rsidRPr="00A7123E" w:rsidRDefault="00A7123E" w:rsidP="00A7123E">
      <w:pPr>
        <w:shd w:val="clear" w:color="auto" w:fill="FFFFFF"/>
        <w:spacing w:before="10" w:line="276" w:lineRule="auto"/>
        <w:ind w:firstLine="709"/>
        <w:jc w:val="both"/>
      </w:pPr>
      <w:r w:rsidRPr="00A7123E">
        <w:lastRenderedPageBreak/>
        <w:t xml:space="preserve">Отличительной особенностью сети образовательных организаций является разброс по району. В районном центре располагаются 4 образовательные организации, 3 в отдаленных поселениях района (пос. Озерновский и с. Запорожье) Общеобразовательные организации сел Апача и Кавалерское и Запорожье являются малокомплектными. Две общеобразовательные школы (МБОУ Большерецкая СОШ № 5 и МБОУ Запорожская начальная школа-детский сад № 9) имеют дошкольную ступень. Одним из важнейших условий, способствующих развитию образования в районе, является обеспечение всех желающих доступным и бесплатным образованием всех уровней. Подвоз детей к школе осуществляется в </w:t>
      </w:r>
      <w:proofErr w:type="spellStart"/>
      <w:r w:rsidRPr="00A7123E">
        <w:t>Озерновской</w:t>
      </w:r>
      <w:proofErr w:type="spellEnd"/>
      <w:r w:rsidRPr="00A7123E">
        <w:t xml:space="preserve"> и </w:t>
      </w:r>
      <w:proofErr w:type="spellStart"/>
      <w:r w:rsidRPr="00A7123E">
        <w:t>Апачинской</w:t>
      </w:r>
      <w:proofErr w:type="spellEnd"/>
      <w:r w:rsidRPr="00A7123E">
        <w:t xml:space="preserve"> школах. </w:t>
      </w:r>
    </w:p>
    <w:p w:rsidR="00A7123E" w:rsidRPr="00A7123E" w:rsidRDefault="00A7123E" w:rsidP="00A7123E">
      <w:pPr>
        <w:shd w:val="clear" w:color="auto" w:fill="FFFFFF"/>
        <w:spacing w:before="10" w:line="276" w:lineRule="auto"/>
        <w:ind w:firstLine="709"/>
        <w:jc w:val="both"/>
      </w:pPr>
      <w:r w:rsidRPr="00A7123E">
        <w:t xml:space="preserve">Организации дополнительного образования представлены МБУ ДО Усть-Большерецкий РДДТ и МБУ ДО Усть-Большерецкая РДЮСШ расположены только в районном центре (с. Усть-Большерецк). Для удовлетворения потребности в дополнительном образовании, организована деятельность секций и объединений, как спортивных, так и развивающих во всех поселениях поселка </w:t>
      </w:r>
    </w:p>
    <w:p w:rsidR="00A7123E" w:rsidRPr="00A7123E" w:rsidRDefault="00A7123E" w:rsidP="00A7123E">
      <w:pPr>
        <w:shd w:val="clear" w:color="auto" w:fill="FFFFFF"/>
        <w:spacing w:before="10" w:line="276" w:lineRule="auto"/>
        <w:ind w:firstLine="709"/>
        <w:jc w:val="both"/>
        <w:rPr>
          <w:b/>
          <w:bCs/>
          <w:i/>
          <w:iCs/>
        </w:rPr>
      </w:pPr>
      <w:r w:rsidRPr="00A7123E">
        <w:t>Для обеспечения устойчивого роста качества предоставляемых образовательных услуг в 2021-2023 годах планируется строительство нового здания школы на 80 мест в с. Кавалерское</w:t>
      </w:r>
    </w:p>
    <w:p w:rsidR="00A7123E" w:rsidRPr="00A7123E" w:rsidRDefault="00A7123E" w:rsidP="00A7123E">
      <w:pPr>
        <w:shd w:val="clear" w:color="auto" w:fill="FFFFFF"/>
        <w:spacing w:line="276" w:lineRule="auto"/>
        <w:ind w:firstLine="709"/>
        <w:jc w:val="both"/>
      </w:pPr>
      <w:r w:rsidRPr="00A7123E">
        <w:rPr>
          <w:b/>
          <w:bCs/>
          <w:i/>
          <w:iCs/>
        </w:rPr>
        <w:t>Здравоохранение</w:t>
      </w:r>
    </w:p>
    <w:p w:rsidR="00A7123E" w:rsidRPr="00A7123E" w:rsidRDefault="00A7123E" w:rsidP="00A7123E">
      <w:pPr>
        <w:shd w:val="clear" w:color="auto" w:fill="FFFFFF"/>
        <w:spacing w:line="276" w:lineRule="auto"/>
        <w:ind w:right="24" w:firstLine="709"/>
        <w:jc w:val="both"/>
      </w:pPr>
      <w:r w:rsidRPr="00A7123E">
        <w:rPr>
          <w:spacing w:val="-1"/>
        </w:rPr>
        <w:t xml:space="preserve">Основным направлением в области здравоохранения является обеспечение доступной и </w:t>
      </w:r>
      <w:r w:rsidRPr="00A7123E">
        <w:rPr>
          <w:spacing w:val="-2"/>
        </w:rPr>
        <w:t xml:space="preserve">качественной медицинской помощи населению. Все это обеспечивается за счет рационального </w:t>
      </w:r>
      <w:r w:rsidRPr="00A7123E">
        <w:t>размещения учреждений здравоохранения в поселениях района, сбалансированностью необходимых объемов медицинской помощи населению, наличием и уровнем квалификации медицинских кадров, возможностью свободного выбора пациентом лечащего врача и медицинского учреждения.</w:t>
      </w:r>
    </w:p>
    <w:p w:rsidR="00A7123E" w:rsidRPr="00A7123E" w:rsidRDefault="00A7123E" w:rsidP="00A7123E">
      <w:pPr>
        <w:shd w:val="clear" w:color="auto" w:fill="FFFFFF"/>
        <w:spacing w:line="276" w:lineRule="auto"/>
        <w:ind w:right="5" w:firstLine="709"/>
        <w:jc w:val="both"/>
      </w:pPr>
      <w:r w:rsidRPr="00A7123E">
        <w:t>В 2015 году произошла реорганизация государственного бюджетного учреждения Камчатского края «Усть-Большерецкая районная больница» путем присоединения к нему ГБУЗ КК «Октябрьская районная больница» и ГБУЗ КК «Апачинская врачебная амбулатория».</w:t>
      </w:r>
    </w:p>
    <w:p w:rsidR="00A7123E" w:rsidRPr="00A7123E" w:rsidRDefault="00A7123E" w:rsidP="00A7123E">
      <w:pPr>
        <w:shd w:val="clear" w:color="auto" w:fill="FFFFFF"/>
        <w:spacing w:line="276" w:lineRule="auto"/>
        <w:ind w:right="5" w:firstLine="709"/>
        <w:jc w:val="both"/>
      </w:pPr>
      <w:r w:rsidRPr="00A7123E">
        <w:t>В структуру ГБУЗ КК «Усть-Большерецкая районная больница» входят:</w:t>
      </w:r>
    </w:p>
    <w:p w:rsidR="00A7123E" w:rsidRPr="00A7123E" w:rsidRDefault="00A7123E" w:rsidP="00A7123E">
      <w:pPr>
        <w:shd w:val="clear" w:color="auto" w:fill="FFFFFF"/>
        <w:spacing w:line="276" w:lineRule="auto"/>
        <w:ind w:right="5" w:firstLine="709"/>
        <w:jc w:val="both"/>
      </w:pPr>
      <w:r w:rsidRPr="00A7123E">
        <w:t xml:space="preserve">- ФАП </w:t>
      </w:r>
      <w:proofErr w:type="spellStart"/>
      <w:r w:rsidRPr="00A7123E">
        <w:t>с.Кавалерское</w:t>
      </w:r>
      <w:proofErr w:type="spellEnd"/>
      <w:r w:rsidRPr="00A7123E">
        <w:t>;</w:t>
      </w:r>
    </w:p>
    <w:p w:rsidR="00A7123E" w:rsidRPr="00A7123E" w:rsidRDefault="00A7123E" w:rsidP="00A7123E">
      <w:pPr>
        <w:shd w:val="clear" w:color="auto" w:fill="FFFFFF"/>
        <w:spacing w:line="276" w:lineRule="auto"/>
        <w:ind w:right="5" w:firstLine="709"/>
        <w:jc w:val="both"/>
      </w:pPr>
      <w:r w:rsidRPr="00A7123E">
        <w:t>- Октябрьское отделение ГБУЗ КК «Усть-Большерецкая районная больница»;</w:t>
      </w:r>
    </w:p>
    <w:p w:rsidR="00A7123E" w:rsidRPr="00A7123E" w:rsidRDefault="00A7123E" w:rsidP="00A7123E">
      <w:pPr>
        <w:shd w:val="clear" w:color="auto" w:fill="FFFFFF"/>
        <w:spacing w:line="276" w:lineRule="auto"/>
        <w:ind w:right="5" w:firstLine="709"/>
        <w:jc w:val="both"/>
      </w:pPr>
      <w:r w:rsidRPr="00A7123E">
        <w:t>- Апачинское отделение ГБУЗ КК «Усть-Большерецкая районная больница».</w:t>
      </w:r>
    </w:p>
    <w:p w:rsidR="00A7123E" w:rsidRPr="00A7123E" w:rsidRDefault="00A7123E" w:rsidP="00A7123E">
      <w:pPr>
        <w:shd w:val="clear" w:color="auto" w:fill="FFFFFF"/>
        <w:spacing w:line="276" w:lineRule="auto"/>
        <w:ind w:right="5" w:firstLine="709"/>
        <w:jc w:val="both"/>
      </w:pPr>
      <w:r w:rsidRPr="00A7123E">
        <w:t>В структуру ГБУЗ КК «Озерновская районная больница входят:</w:t>
      </w:r>
    </w:p>
    <w:p w:rsidR="00A7123E" w:rsidRPr="00A7123E" w:rsidRDefault="00A7123E" w:rsidP="00A7123E">
      <w:pPr>
        <w:shd w:val="clear" w:color="auto" w:fill="FFFFFF"/>
        <w:spacing w:line="276" w:lineRule="auto"/>
        <w:ind w:right="5" w:firstLine="709"/>
        <w:jc w:val="both"/>
      </w:pPr>
      <w:r w:rsidRPr="00A7123E">
        <w:t xml:space="preserve">- ФАП </w:t>
      </w:r>
      <w:proofErr w:type="spellStart"/>
      <w:r w:rsidRPr="00A7123E">
        <w:t>с.Запорожье</w:t>
      </w:r>
      <w:proofErr w:type="spellEnd"/>
      <w:r w:rsidRPr="00A7123E">
        <w:t>;</w:t>
      </w:r>
    </w:p>
    <w:p w:rsidR="00A7123E" w:rsidRPr="00A7123E" w:rsidRDefault="00A7123E" w:rsidP="00A7123E">
      <w:pPr>
        <w:shd w:val="clear" w:color="auto" w:fill="FFFFFF"/>
        <w:spacing w:line="276" w:lineRule="auto"/>
        <w:ind w:right="5" w:firstLine="709"/>
        <w:jc w:val="both"/>
      </w:pPr>
      <w:r w:rsidRPr="00A7123E">
        <w:t xml:space="preserve">- ФАП </w:t>
      </w:r>
      <w:proofErr w:type="spellStart"/>
      <w:r w:rsidRPr="00A7123E">
        <w:t>п.Паужетка</w:t>
      </w:r>
      <w:proofErr w:type="spellEnd"/>
      <w:r w:rsidRPr="00A7123E">
        <w:t>.</w:t>
      </w:r>
    </w:p>
    <w:p w:rsidR="00A7123E" w:rsidRPr="00A7123E" w:rsidRDefault="00A7123E" w:rsidP="00A7123E">
      <w:pPr>
        <w:shd w:val="clear" w:color="auto" w:fill="FFFFFF"/>
        <w:spacing w:line="276" w:lineRule="auto"/>
        <w:ind w:right="5" w:firstLine="709"/>
        <w:jc w:val="both"/>
      </w:pPr>
      <w:r w:rsidRPr="00A7123E">
        <w:t>В Усть-Большерецком муниципальном районе медицинское обслуживание населения обеспечивается:</w:t>
      </w:r>
    </w:p>
    <w:p w:rsidR="00A7123E" w:rsidRPr="00A7123E" w:rsidRDefault="00A7123E" w:rsidP="00A7123E">
      <w:pPr>
        <w:shd w:val="clear" w:color="auto" w:fill="FFFFFF"/>
        <w:spacing w:line="276" w:lineRule="auto"/>
        <w:ind w:right="5" w:firstLine="709"/>
        <w:jc w:val="both"/>
      </w:pPr>
      <w:r w:rsidRPr="00A7123E">
        <w:t>1) ГБУЗ КК «Усть-Большерецкая районная больница» на 32 больничные койки (в том числе коек интенсивного лечения – 1, коек дневного стационара – 10), в структуре: поликлиника на 55 посещений в смену (в том числе ФАП c. Кавалерское на 3 посещения в смену) и Октябрьское отделение на 16 коек сестринского ухода (в том числе 5 коек дневного стационара);</w:t>
      </w:r>
    </w:p>
    <w:p w:rsidR="00A7123E" w:rsidRPr="00A7123E" w:rsidRDefault="00A7123E" w:rsidP="00A7123E">
      <w:pPr>
        <w:shd w:val="clear" w:color="auto" w:fill="FFFFFF"/>
        <w:spacing w:line="276" w:lineRule="auto"/>
        <w:ind w:left="5" w:right="5" w:firstLine="562"/>
        <w:jc w:val="both"/>
      </w:pPr>
      <w:r w:rsidRPr="00A7123E">
        <w:t xml:space="preserve">2) ГБУЗ КК «Озерновская районная больница» на 29 больничных коек (из них 10 коек дневного стационара и 3 койки сестринского ухода), в структуре: поликлиника на 62 посещений в смену вместе со стоматологией, ФАП </w:t>
      </w:r>
      <w:proofErr w:type="spellStart"/>
      <w:r w:rsidRPr="00A7123E">
        <w:t>п.Паужетка</w:t>
      </w:r>
      <w:proofErr w:type="spellEnd"/>
      <w:r w:rsidRPr="00A7123E">
        <w:t xml:space="preserve"> и ФАП с. Запорожье.</w:t>
      </w:r>
    </w:p>
    <w:p w:rsidR="00A7123E" w:rsidRPr="00A7123E" w:rsidRDefault="00A7123E" w:rsidP="00A7123E">
      <w:pPr>
        <w:shd w:val="clear" w:color="auto" w:fill="FFFFFF"/>
        <w:spacing w:line="276" w:lineRule="auto"/>
        <w:ind w:left="5" w:right="5" w:firstLine="562"/>
        <w:jc w:val="both"/>
      </w:pPr>
      <w:r w:rsidRPr="00A7123E">
        <w:t>На 01.01.2019 года занято 40,25 врачебных ставок и 102,5 ставок занято средними медицинскими работниками.</w:t>
      </w:r>
    </w:p>
    <w:p w:rsidR="00A7123E" w:rsidRPr="00A7123E" w:rsidRDefault="00A7123E" w:rsidP="00A7123E">
      <w:pPr>
        <w:shd w:val="clear" w:color="auto" w:fill="FFFFFF"/>
        <w:spacing w:line="276" w:lineRule="auto"/>
        <w:ind w:left="5" w:right="5" w:firstLine="562"/>
        <w:jc w:val="both"/>
      </w:pPr>
      <w:r w:rsidRPr="00A7123E">
        <w:t>В отдаленных поселениях района квалифицированная амбулаторно-поликлиническая помощь оказывается путем выезда бригад врачей специалистов не реже одного раза в месяц в каждый населенный пункт по утвержденному графику.</w:t>
      </w:r>
    </w:p>
    <w:p w:rsidR="00A7123E" w:rsidRPr="00A7123E" w:rsidRDefault="00A7123E" w:rsidP="00A7123E">
      <w:pPr>
        <w:shd w:val="clear" w:color="auto" w:fill="FFFFFF"/>
        <w:spacing w:line="276" w:lineRule="auto"/>
        <w:ind w:left="5" w:right="5" w:firstLine="562"/>
        <w:jc w:val="both"/>
      </w:pPr>
      <w:r w:rsidRPr="00A7123E">
        <w:lastRenderedPageBreak/>
        <w:t>Все медицинские учреждения Усть-Большерецкого муниципального района ориентированы на результат и применяют стандарты оказания медицинской помощи согласно Территориальной программе государственных гарантий бесплатного оказания гражданам медицинской помощи на территории Камчатского края.</w:t>
      </w:r>
    </w:p>
    <w:p w:rsidR="00A7123E" w:rsidRPr="00A7123E" w:rsidRDefault="00A7123E" w:rsidP="00A7123E">
      <w:pPr>
        <w:shd w:val="clear" w:color="auto" w:fill="FFFFFF"/>
        <w:spacing w:before="5" w:line="276" w:lineRule="auto"/>
        <w:ind w:left="552"/>
        <w:rPr>
          <w:b/>
          <w:i/>
          <w:iCs/>
        </w:rPr>
      </w:pPr>
    </w:p>
    <w:p w:rsidR="00A7123E" w:rsidRPr="00A7123E" w:rsidRDefault="00A7123E" w:rsidP="00A7123E">
      <w:pPr>
        <w:shd w:val="clear" w:color="auto" w:fill="FFFFFF"/>
        <w:spacing w:before="5" w:line="276" w:lineRule="auto"/>
        <w:ind w:left="552"/>
        <w:jc w:val="center"/>
        <w:rPr>
          <w:b/>
        </w:rPr>
      </w:pPr>
      <w:r w:rsidRPr="00A7123E">
        <w:rPr>
          <w:b/>
          <w:i/>
          <w:iCs/>
        </w:rPr>
        <w:t>Ввод в действие жилых домов</w:t>
      </w:r>
    </w:p>
    <w:p w:rsidR="00A7123E" w:rsidRPr="00A7123E" w:rsidRDefault="00A7123E" w:rsidP="00A7123E">
      <w:pPr>
        <w:shd w:val="clear" w:color="auto" w:fill="FFFFFF"/>
        <w:spacing w:line="276" w:lineRule="auto"/>
        <w:ind w:right="19" w:firstLine="562"/>
        <w:jc w:val="both"/>
      </w:pPr>
      <w:r w:rsidRPr="00A7123E">
        <w:t xml:space="preserve">Общая площадь жилых помещений, приходящаяся в среднем на одного жителя района за 2020 год, по данным Территориального органа Федеральной службы государственной статистики по Камчатскому краю составляет 26,63 </w:t>
      </w:r>
      <w:proofErr w:type="spellStart"/>
      <w:r w:rsidRPr="00A7123E">
        <w:t>кв.м</w:t>
      </w:r>
      <w:proofErr w:type="spellEnd"/>
      <w:r w:rsidRPr="00A7123E">
        <w:t xml:space="preserve">. В рамках реализации Государственной программы Камчатского края «Обеспечение доступным и комфортным жильем жителей Камчатского края» в 2016 году начато строительство 12-ти квартирного жилого дома в Усть-Большерецком сельском поселении. Строительство данного жилого дома было завершено в начале 2020 года. В 3-м квартале 2020 года жилой дом введен в эксплуатацию, в 2021 году поставлен на кадастровый учет. Общая площадь введенного в действие жилья составит 0,7805 тыс. </w:t>
      </w:r>
      <w:proofErr w:type="spellStart"/>
      <w:r w:rsidRPr="00A7123E">
        <w:t>кв.м</w:t>
      </w:r>
      <w:proofErr w:type="spellEnd"/>
      <w:r w:rsidRPr="00A7123E">
        <w:t>.</w:t>
      </w:r>
    </w:p>
    <w:p w:rsidR="00A7123E" w:rsidRPr="00A7123E" w:rsidRDefault="00A7123E" w:rsidP="00A7123E">
      <w:pPr>
        <w:shd w:val="clear" w:color="auto" w:fill="FFFFFF"/>
        <w:spacing w:line="276" w:lineRule="auto"/>
        <w:ind w:right="19" w:firstLine="562"/>
        <w:jc w:val="both"/>
      </w:pPr>
      <w:r w:rsidRPr="00A7123E">
        <w:t xml:space="preserve">Также, в 2021 году планируется начать строительство 18-ти квартирного жилого дома в Озерновском городском поселении, общая площадь введенного в действие жилья составит 0,9 </w:t>
      </w:r>
      <w:proofErr w:type="spellStart"/>
      <w:r w:rsidRPr="00A7123E">
        <w:t>тыс.кв.м</w:t>
      </w:r>
      <w:proofErr w:type="spellEnd"/>
      <w:r w:rsidRPr="00A7123E">
        <w:t>.</w:t>
      </w:r>
    </w:p>
    <w:p w:rsidR="00A7123E" w:rsidRPr="00A7123E" w:rsidRDefault="00A7123E" w:rsidP="00A7123E">
      <w:pPr>
        <w:shd w:val="clear" w:color="auto" w:fill="FFFFFF"/>
        <w:spacing w:line="276" w:lineRule="auto"/>
        <w:ind w:right="19" w:firstLine="562"/>
        <w:jc w:val="both"/>
      </w:pPr>
      <w:r w:rsidRPr="00A7123E">
        <w:t>Таким образом, к 2023 году планируется снижение доли аварийного жилищного фонда Усть-Большерецкого муниципального района на 19 % по сравнению с 2016 годом.</w:t>
      </w:r>
    </w:p>
    <w:p w:rsidR="00A7123E" w:rsidRPr="00A7123E" w:rsidRDefault="00A7123E" w:rsidP="00A7123E">
      <w:pPr>
        <w:shd w:val="clear" w:color="auto" w:fill="FFFFFF"/>
        <w:spacing w:line="276" w:lineRule="auto"/>
        <w:ind w:right="19" w:firstLine="562"/>
        <w:jc w:val="both"/>
      </w:pPr>
    </w:p>
    <w:p w:rsidR="00A7123E" w:rsidRPr="00A7123E" w:rsidRDefault="00A7123E" w:rsidP="00A7123E">
      <w:pPr>
        <w:shd w:val="clear" w:color="auto" w:fill="FFFFFF"/>
        <w:spacing w:line="276" w:lineRule="auto"/>
        <w:ind w:right="19" w:firstLine="562"/>
        <w:jc w:val="center"/>
        <w:rPr>
          <w:b/>
          <w:i/>
        </w:rPr>
      </w:pPr>
      <w:r w:rsidRPr="00A7123E">
        <w:rPr>
          <w:b/>
          <w:i/>
        </w:rPr>
        <w:t>Энергетика Усть-Большерецкого района</w:t>
      </w:r>
    </w:p>
    <w:p w:rsidR="00A7123E" w:rsidRPr="00A7123E" w:rsidRDefault="00A7123E" w:rsidP="00A7123E">
      <w:pPr>
        <w:shd w:val="clear" w:color="auto" w:fill="FFFFFF"/>
        <w:spacing w:line="276" w:lineRule="auto"/>
        <w:ind w:right="19" w:firstLine="562"/>
        <w:jc w:val="both"/>
      </w:pPr>
      <w:r w:rsidRPr="00A7123E">
        <w:t xml:space="preserve">Энергетика Усть - Большерецкого района представлена предприятиями АО «Камчатские электрические сети им. И.А. Пискунова» и ПАО «Камчатскэнерго» филиал Возобновляемая энергетика, в структуру которого входят - </w:t>
      </w:r>
      <w:proofErr w:type="spellStart"/>
      <w:r w:rsidRPr="00A7123E">
        <w:t>Паужетская</w:t>
      </w:r>
      <w:proofErr w:type="spellEnd"/>
      <w:r w:rsidRPr="00A7123E">
        <w:t xml:space="preserve"> </w:t>
      </w:r>
      <w:proofErr w:type="spellStart"/>
      <w:r w:rsidRPr="00A7123E">
        <w:t>ГеоЭС</w:t>
      </w:r>
      <w:proofErr w:type="spellEnd"/>
      <w:r w:rsidRPr="00A7123E">
        <w:t xml:space="preserve"> и Каскад ГЭС на реке Толмачёва. Каскад </w:t>
      </w:r>
      <w:proofErr w:type="spellStart"/>
      <w:r w:rsidRPr="00A7123E">
        <w:t>Толмачёвских</w:t>
      </w:r>
      <w:proofErr w:type="spellEnd"/>
      <w:r w:rsidRPr="00A7123E">
        <w:t xml:space="preserve"> ГЭС полностью обеспечивают энергоснабжение 4 сел и поселков Усть-Большерецкого муниципального района, что позволило отказаться от эксплуатации дизельных электростанций, использующих дорогостоящий привозной мазут, и уменьшить загрязнение окружающей среды.  </w:t>
      </w:r>
    </w:p>
    <w:p w:rsidR="00A7123E" w:rsidRPr="00A7123E" w:rsidRDefault="00A7123E" w:rsidP="00A7123E">
      <w:pPr>
        <w:shd w:val="clear" w:color="auto" w:fill="FFFFFF"/>
        <w:spacing w:line="276" w:lineRule="auto"/>
        <w:ind w:right="19" w:firstLine="562"/>
        <w:jc w:val="both"/>
      </w:pPr>
      <w:r w:rsidRPr="00A7123E">
        <w:t xml:space="preserve">В п. Октябрьский установлено 9 </w:t>
      </w:r>
      <w:proofErr w:type="spellStart"/>
      <w:r w:rsidRPr="00A7123E">
        <w:t>ветрогенераторов</w:t>
      </w:r>
      <w:proofErr w:type="spellEnd"/>
      <w:r w:rsidRPr="00A7123E">
        <w:t xml:space="preserve"> на ветровой электростанции, 3 из которых мощностью по 240 кВт, 4 мощностью по 600 кВт, 2 мощностью по 800 кВт. На сегодняшний день </w:t>
      </w:r>
      <w:proofErr w:type="spellStart"/>
      <w:r w:rsidRPr="00A7123E">
        <w:t>ветрогенераторы</w:t>
      </w:r>
      <w:proofErr w:type="spellEnd"/>
      <w:r w:rsidRPr="00A7123E">
        <w:t xml:space="preserve"> являются одним из самым экологически чистым видом производства электроэнергии в мире. </w:t>
      </w:r>
    </w:p>
    <w:p w:rsidR="00A7123E" w:rsidRPr="00A7123E" w:rsidRDefault="00A7123E" w:rsidP="00A7123E">
      <w:pPr>
        <w:shd w:val="clear" w:color="auto" w:fill="FFFFFF"/>
        <w:spacing w:line="276" w:lineRule="auto"/>
        <w:ind w:right="19" w:firstLine="562"/>
        <w:jc w:val="both"/>
      </w:pPr>
      <w:r w:rsidRPr="00A7123E">
        <w:t>«</w:t>
      </w:r>
      <w:proofErr w:type="spellStart"/>
      <w:r w:rsidRPr="00A7123E">
        <w:t>Паужетская</w:t>
      </w:r>
      <w:proofErr w:type="spellEnd"/>
      <w:r w:rsidRPr="00A7123E">
        <w:t xml:space="preserve"> </w:t>
      </w:r>
      <w:proofErr w:type="spellStart"/>
      <w:r w:rsidRPr="00A7123E">
        <w:t>ГеоЭС</w:t>
      </w:r>
      <w:proofErr w:type="spellEnd"/>
      <w:r w:rsidRPr="00A7123E">
        <w:t xml:space="preserve">» на Камчатке расположена в районе поселка Паужетка (около вулканов Кошелева и </w:t>
      </w:r>
      <w:proofErr w:type="spellStart"/>
      <w:r w:rsidRPr="00A7123E">
        <w:t>Камбального</w:t>
      </w:r>
      <w:proofErr w:type="spellEnd"/>
      <w:r w:rsidRPr="00A7123E">
        <w:t xml:space="preserve">) - старейшая геотермальная электростанция на территории России, введена в эксплуатацию в 1966 году на </w:t>
      </w:r>
      <w:proofErr w:type="spellStart"/>
      <w:r w:rsidRPr="00A7123E">
        <w:t>Паужетском</w:t>
      </w:r>
      <w:proofErr w:type="spellEnd"/>
      <w:r w:rsidRPr="00A7123E">
        <w:t xml:space="preserve"> геотермальном месторождении. Осуществляет электроснабжение п. Озерновский и с. Запорожье, а также, находящихся там рыбоперерабатывающих предприятий.</w:t>
      </w:r>
    </w:p>
    <w:p w:rsidR="00A7123E" w:rsidRPr="00A7123E" w:rsidRDefault="00A7123E" w:rsidP="00A7123E">
      <w:pPr>
        <w:shd w:val="clear" w:color="auto" w:fill="FFFFFF"/>
        <w:spacing w:line="276" w:lineRule="auto"/>
        <w:ind w:right="19" w:firstLine="562"/>
        <w:jc w:val="both"/>
      </w:pPr>
    </w:p>
    <w:p w:rsidR="00A7123E" w:rsidRPr="00A7123E" w:rsidRDefault="00A7123E" w:rsidP="00A7123E">
      <w:pPr>
        <w:shd w:val="clear" w:color="auto" w:fill="FFFFFF"/>
        <w:spacing w:line="276" w:lineRule="auto"/>
        <w:ind w:right="19" w:firstLine="562"/>
        <w:jc w:val="both"/>
      </w:pPr>
      <w:bookmarkStart w:id="1" w:name="_GoBack"/>
      <w:bookmarkEnd w:id="1"/>
    </w:p>
    <w:sectPr w:rsidR="00A7123E" w:rsidRPr="00A7123E" w:rsidSect="00F738A2">
      <w:headerReference w:type="even" r:id="rId8"/>
      <w:headerReference w:type="default" r:id="rId9"/>
      <w:pgSz w:w="11906" w:h="16838"/>
      <w:pgMar w:top="567" w:right="566" w:bottom="709" w:left="12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82" w:rsidRDefault="00A7123E" w:rsidP="00002DA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41182" w:rsidRDefault="00A7123E" w:rsidP="00CA41A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82" w:rsidRDefault="00A7123E" w:rsidP="00002DA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241182" w:rsidRDefault="00A7123E" w:rsidP="00CA41A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02E04A"/>
    <w:lvl w:ilvl="0">
      <w:numFmt w:val="bullet"/>
      <w:lvlText w:val="*"/>
      <w:lvlJc w:val="left"/>
    </w:lvl>
  </w:abstractNum>
  <w:abstractNum w:abstractNumId="1">
    <w:nsid w:val="09621D91"/>
    <w:multiLevelType w:val="hybridMultilevel"/>
    <w:tmpl w:val="03AAD504"/>
    <w:lvl w:ilvl="0" w:tplc="A588C5DC">
      <w:start w:val="1"/>
      <w:numFmt w:val="upperRoman"/>
      <w:lvlText w:val="%1."/>
      <w:lvlJc w:val="right"/>
      <w:pPr>
        <w:ind w:left="1778" w:hanging="360"/>
      </w:pPr>
      <w:rPr>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555F19"/>
    <w:multiLevelType w:val="hybridMultilevel"/>
    <w:tmpl w:val="30FCAC72"/>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FE11132"/>
    <w:multiLevelType w:val="hybridMultilevel"/>
    <w:tmpl w:val="B2BAF88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014F92"/>
    <w:multiLevelType w:val="hybridMultilevel"/>
    <w:tmpl w:val="C4CC655A"/>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3D849DA"/>
    <w:multiLevelType w:val="hybridMultilevel"/>
    <w:tmpl w:val="CF769A5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E10F5"/>
    <w:multiLevelType w:val="hybridMultilevel"/>
    <w:tmpl w:val="5ADE5CDA"/>
    <w:lvl w:ilvl="0" w:tplc="A588C5DC">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584014"/>
    <w:multiLevelType w:val="hybridMultilevel"/>
    <w:tmpl w:val="F27650D8"/>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393A2C"/>
    <w:multiLevelType w:val="hybridMultilevel"/>
    <w:tmpl w:val="56CE7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061AC4"/>
    <w:multiLevelType w:val="hybridMultilevel"/>
    <w:tmpl w:val="EBD61518"/>
    <w:lvl w:ilvl="0" w:tplc="CAF8075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A6D77"/>
    <w:multiLevelType w:val="hybridMultilevel"/>
    <w:tmpl w:val="CE005280"/>
    <w:lvl w:ilvl="0" w:tplc="67800A38">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DCE1DCB"/>
    <w:multiLevelType w:val="hybridMultilevel"/>
    <w:tmpl w:val="378A00F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7">
    <w:abstractNumId w:val="5"/>
  </w:num>
  <w:num w:numId="8">
    <w:abstractNumId w:val="11"/>
  </w:num>
  <w:num w:numId="9">
    <w:abstractNumId w:val="3"/>
  </w:num>
  <w:num w:numId="10">
    <w:abstractNumId w:val="7"/>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6A"/>
    <w:rsid w:val="00280350"/>
    <w:rsid w:val="0097296A"/>
    <w:rsid w:val="00A7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AA801-142B-4CD2-9687-83975D14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2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23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23E"/>
    <w:rPr>
      <w:rFonts w:ascii="Arial" w:eastAsia="Times New Roman" w:hAnsi="Arial" w:cs="Arial"/>
      <w:b/>
      <w:bCs/>
      <w:kern w:val="32"/>
      <w:sz w:val="32"/>
      <w:szCs w:val="32"/>
      <w:lang w:eastAsia="ru-RU"/>
    </w:rPr>
  </w:style>
  <w:style w:type="paragraph" w:customStyle="1" w:styleId="11">
    <w:name w:val="Обычный1"/>
    <w:rsid w:val="00A7123E"/>
    <w:pPr>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rsid w:val="00A7123E"/>
    <w:pPr>
      <w:spacing w:after="120"/>
      <w:ind w:left="283"/>
    </w:pPr>
    <w:rPr>
      <w:sz w:val="20"/>
      <w:szCs w:val="20"/>
    </w:rPr>
  </w:style>
  <w:style w:type="character" w:customStyle="1" w:styleId="a4">
    <w:name w:val="Основной текст с отступом Знак"/>
    <w:basedOn w:val="a0"/>
    <w:link w:val="a3"/>
    <w:rsid w:val="00A7123E"/>
    <w:rPr>
      <w:rFonts w:ascii="Times New Roman" w:eastAsia="Times New Roman" w:hAnsi="Times New Roman" w:cs="Times New Roman"/>
      <w:sz w:val="20"/>
      <w:szCs w:val="20"/>
      <w:lang w:eastAsia="ru-RU"/>
    </w:rPr>
  </w:style>
  <w:style w:type="paragraph" w:styleId="a5">
    <w:name w:val="Body Text"/>
    <w:basedOn w:val="a"/>
    <w:link w:val="a6"/>
    <w:rsid w:val="00A7123E"/>
    <w:pPr>
      <w:spacing w:after="120"/>
    </w:pPr>
    <w:rPr>
      <w:sz w:val="20"/>
      <w:szCs w:val="20"/>
    </w:rPr>
  </w:style>
  <w:style w:type="character" w:customStyle="1" w:styleId="a6">
    <w:name w:val="Основной текст Знак"/>
    <w:basedOn w:val="a0"/>
    <w:link w:val="a5"/>
    <w:rsid w:val="00A7123E"/>
    <w:rPr>
      <w:rFonts w:ascii="Times New Roman" w:eastAsia="Times New Roman" w:hAnsi="Times New Roman" w:cs="Times New Roman"/>
      <w:sz w:val="20"/>
      <w:szCs w:val="20"/>
      <w:lang w:eastAsia="ru-RU"/>
    </w:rPr>
  </w:style>
  <w:style w:type="paragraph" w:customStyle="1" w:styleId="3">
    <w:name w:val="Стиль3"/>
    <w:basedOn w:val="a"/>
    <w:link w:val="30"/>
    <w:rsid w:val="00A7123E"/>
    <w:pPr>
      <w:spacing w:line="360" w:lineRule="auto"/>
      <w:ind w:firstLine="708"/>
      <w:jc w:val="both"/>
    </w:pPr>
    <w:rPr>
      <w:sz w:val="28"/>
      <w:szCs w:val="20"/>
    </w:rPr>
  </w:style>
  <w:style w:type="character" w:customStyle="1" w:styleId="30">
    <w:name w:val="Стиль3 Знак"/>
    <w:basedOn w:val="a0"/>
    <w:link w:val="3"/>
    <w:rsid w:val="00A7123E"/>
    <w:rPr>
      <w:rFonts w:ascii="Times New Roman" w:eastAsia="Times New Roman" w:hAnsi="Times New Roman" w:cs="Times New Roman"/>
      <w:sz w:val="28"/>
      <w:szCs w:val="20"/>
      <w:lang w:eastAsia="ru-RU"/>
    </w:rPr>
  </w:style>
  <w:style w:type="paragraph" w:styleId="a7">
    <w:name w:val="caption"/>
    <w:basedOn w:val="a"/>
    <w:qFormat/>
    <w:rsid w:val="00A7123E"/>
    <w:pPr>
      <w:jc w:val="center"/>
    </w:pPr>
    <w:rPr>
      <w:b/>
      <w:sz w:val="28"/>
      <w:szCs w:val="20"/>
    </w:rPr>
  </w:style>
  <w:style w:type="paragraph" w:customStyle="1" w:styleId="12">
    <w:name w:val="Знак1"/>
    <w:basedOn w:val="a"/>
    <w:rsid w:val="00A7123E"/>
    <w:pPr>
      <w:spacing w:after="160" w:line="240" w:lineRule="exact"/>
    </w:pPr>
    <w:rPr>
      <w:rFonts w:ascii="Verdana" w:hAnsi="Verdana"/>
      <w:sz w:val="20"/>
      <w:szCs w:val="20"/>
      <w:lang w:val="en-US" w:eastAsia="en-US"/>
    </w:rPr>
  </w:style>
  <w:style w:type="paragraph" w:styleId="a8">
    <w:name w:val="header"/>
    <w:basedOn w:val="a"/>
    <w:link w:val="a9"/>
    <w:rsid w:val="00A7123E"/>
    <w:pPr>
      <w:tabs>
        <w:tab w:val="center" w:pos="4677"/>
        <w:tab w:val="right" w:pos="9355"/>
      </w:tabs>
    </w:pPr>
  </w:style>
  <w:style w:type="character" w:customStyle="1" w:styleId="a9">
    <w:name w:val="Верхний колонтитул Знак"/>
    <w:basedOn w:val="a0"/>
    <w:link w:val="a8"/>
    <w:rsid w:val="00A7123E"/>
    <w:rPr>
      <w:rFonts w:ascii="Times New Roman" w:eastAsia="Times New Roman" w:hAnsi="Times New Roman" w:cs="Times New Roman"/>
      <w:sz w:val="24"/>
      <w:szCs w:val="24"/>
      <w:lang w:eastAsia="ru-RU"/>
    </w:rPr>
  </w:style>
  <w:style w:type="character" w:styleId="aa">
    <w:name w:val="page number"/>
    <w:basedOn w:val="a0"/>
    <w:rsid w:val="00A7123E"/>
  </w:style>
  <w:style w:type="paragraph" w:styleId="ab">
    <w:name w:val="Title"/>
    <w:basedOn w:val="a"/>
    <w:link w:val="ac"/>
    <w:qFormat/>
    <w:rsid w:val="00A7123E"/>
    <w:pPr>
      <w:jc w:val="center"/>
    </w:pPr>
    <w:rPr>
      <w:b/>
      <w:sz w:val="28"/>
      <w:szCs w:val="20"/>
    </w:rPr>
  </w:style>
  <w:style w:type="character" w:customStyle="1" w:styleId="ac">
    <w:name w:val="Название Знак"/>
    <w:basedOn w:val="a0"/>
    <w:link w:val="ab"/>
    <w:rsid w:val="00A7123E"/>
    <w:rPr>
      <w:rFonts w:ascii="Times New Roman" w:eastAsia="Times New Roman" w:hAnsi="Times New Roman" w:cs="Times New Roman"/>
      <w:b/>
      <w:sz w:val="28"/>
      <w:szCs w:val="20"/>
      <w:lang w:eastAsia="ru-RU"/>
    </w:rPr>
  </w:style>
  <w:style w:type="paragraph" w:styleId="31">
    <w:name w:val="Body Text Indent 3"/>
    <w:basedOn w:val="a"/>
    <w:link w:val="32"/>
    <w:rsid w:val="00A7123E"/>
    <w:pPr>
      <w:spacing w:after="120"/>
      <w:ind w:left="283"/>
    </w:pPr>
    <w:rPr>
      <w:sz w:val="16"/>
      <w:szCs w:val="16"/>
    </w:rPr>
  </w:style>
  <w:style w:type="character" w:customStyle="1" w:styleId="32">
    <w:name w:val="Основной текст с отступом 3 Знак"/>
    <w:basedOn w:val="a0"/>
    <w:link w:val="31"/>
    <w:rsid w:val="00A7123E"/>
    <w:rPr>
      <w:rFonts w:ascii="Times New Roman" w:eastAsia="Times New Roman" w:hAnsi="Times New Roman" w:cs="Times New Roman"/>
      <w:sz w:val="16"/>
      <w:szCs w:val="16"/>
      <w:lang w:eastAsia="ru-RU"/>
    </w:rPr>
  </w:style>
  <w:style w:type="paragraph" w:styleId="2">
    <w:name w:val="Body Text Indent 2"/>
    <w:basedOn w:val="a"/>
    <w:link w:val="20"/>
    <w:rsid w:val="00A7123E"/>
    <w:pPr>
      <w:spacing w:after="120" w:line="480" w:lineRule="auto"/>
      <w:ind w:left="283"/>
    </w:pPr>
  </w:style>
  <w:style w:type="character" w:customStyle="1" w:styleId="20">
    <w:name w:val="Основной текст с отступом 2 Знак"/>
    <w:basedOn w:val="a0"/>
    <w:link w:val="2"/>
    <w:rsid w:val="00A7123E"/>
    <w:rPr>
      <w:rFonts w:ascii="Times New Roman" w:eastAsia="Times New Roman" w:hAnsi="Times New Roman" w:cs="Times New Roman"/>
      <w:sz w:val="24"/>
      <w:szCs w:val="24"/>
      <w:lang w:eastAsia="ru-RU"/>
    </w:rPr>
  </w:style>
  <w:style w:type="paragraph" w:styleId="ad">
    <w:name w:val="Plain Text"/>
    <w:basedOn w:val="a"/>
    <w:link w:val="ae"/>
    <w:rsid w:val="00A7123E"/>
    <w:rPr>
      <w:rFonts w:ascii="Courier New" w:hAnsi="Courier New" w:cs="Courier New"/>
      <w:sz w:val="20"/>
      <w:szCs w:val="20"/>
    </w:rPr>
  </w:style>
  <w:style w:type="character" w:customStyle="1" w:styleId="ae">
    <w:name w:val="Текст Знак"/>
    <w:basedOn w:val="a0"/>
    <w:link w:val="ad"/>
    <w:rsid w:val="00A7123E"/>
    <w:rPr>
      <w:rFonts w:ascii="Courier New" w:eastAsia="Times New Roman" w:hAnsi="Courier New" w:cs="Courier New"/>
      <w:sz w:val="20"/>
      <w:szCs w:val="20"/>
      <w:lang w:eastAsia="ru-RU"/>
    </w:rPr>
  </w:style>
  <w:style w:type="paragraph" w:styleId="af">
    <w:name w:val="Balloon Text"/>
    <w:basedOn w:val="a"/>
    <w:link w:val="af0"/>
    <w:rsid w:val="00A7123E"/>
    <w:rPr>
      <w:rFonts w:ascii="Tahoma" w:hAnsi="Tahoma" w:cs="Tahoma"/>
      <w:sz w:val="16"/>
      <w:szCs w:val="16"/>
    </w:rPr>
  </w:style>
  <w:style w:type="character" w:customStyle="1" w:styleId="af0">
    <w:name w:val="Текст выноски Знак"/>
    <w:basedOn w:val="a0"/>
    <w:link w:val="af"/>
    <w:rsid w:val="00A7123E"/>
    <w:rPr>
      <w:rFonts w:ascii="Tahoma" w:eastAsia="Times New Roman" w:hAnsi="Tahoma" w:cs="Tahoma"/>
      <w:sz w:val="16"/>
      <w:szCs w:val="16"/>
      <w:lang w:eastAsia="ru-RU"/>
    </w:rPr>
  </w:style>
  <w:style w:type="table" w:styleId="af1">
    <w:name w:val="Table Grid"/>
    <w:basedOn w:val="a1"/>
    <w:rsid w:val="00A712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Îáû÷íûé"/>
    <w:rsid w:val="00A7123E"/>
    <w:pPr>
      <w:widowControl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7123E"/>
    <w:pPr>
      <w:spacing w:after="200" w:line="276" w:lineRule="auto"/>
      <w:ind w:left="720"/>
      <w:contextualSpacing/>
    </w:pPr>
    <w:rPr>
      <w:rFonts w:asciiTheme="minorHAnsi" w:eastAsiaTheme="minorEastAsia" w:hAnsiTheme="minorHAnsi" w:cstheme="minorBidi"/>
      <w:sz w:val="22"/>
      <w:szCs w:val="22"/>
    </w:rPr>
  </w:style>
  <w:style w:type="paragraph" w:customStyle="1" w:styleId="af4">
    <w:name w:val="Прижатый влево"/>
    <w:basedOn w:val="a"/>
    <w:next w:val="a"/>
    <w:uiPriority w:val="99"/>
    <w:rsid w:val="00A7123E"/>
    <w:pPr>
      <w:autoSpaceDE w:val="0"/>
      <w:autoSpaceDN w:val="0"/>
      <w:adjustRightInd w:val="0"/>
    </w:pPr>
    <w:rPr>
      <w:rFonts w:ascii="Arial" w:hAnsi="Arial" w:cs="Arial"/>
    </w:rPr>
  </w:style>
  <w:style w:type="character" w:customStyle="1" w:styleId="FontStyle17">
    <w:name w:val="Font Style17"/>
    <w:basedOn w:val="a0"/>
    <w:uiPriority w:val="99"/>
    <w:rsid w:val="00A7123E"/>
    <w:rPr>
      <w:rFonts w:ascii="Times New Roman" w:hAnsi="Times New Roman" w:cs="Times New Roman"/>
      <w:sz w:val="28"/>
      <w:szCs w:val="28"/>
    </w:rPr>
  </w:style>
  <w:style w:type="character" w:customStyle="1" w:styleId="FontStyle13">
    <w:name w:val="Font Style13"/>
    <w:basedOn w:val="a0"/>
    <w:uiPriority w:val="99"/>
    <w:rsid w:val="00A7123E"/>
    <w:rPr>
      <w:rFonts w:ascii="Times New Roman" w:hAnsi="Times New Roman" w:cs="Times New Roman"/>
      <w:b/>
      <w:bCs/>
      <w:sz w:val="22"/>
      <w:szCs w:val="22"/>
    </w:rPr>
  </w:style>
  <w:style w:type="paragraph" w:customStyle="1" w:styleId="Style5">
    <w:name w:val="Style5"/>
    <w:basedOn w:val="a"/>
    <w:uiPriority w:val="99"/>
    <w:rsid w:val="00A7123E"/>
    <w:pPr>
      <w:widowControl w:val="0"/>
      <w:autoSpaceDE w:val="0"/>
      <w:autoSpaceDN w:val="0"/>
      <w:adjustRightInd w:val="0"/>
      <w:spacing w:line="326" w:lineRule="exact"/>
      <w:ind w:firstLine="706"/>
      <w:jc w:val="both"/>
    </w:pPr>
    <w:rPr>
      <w:rFonts w:eastAsiaTheme="minorEastAsia"/>
    </w:rPr>
  </w:style>
  <w:style w:type="paragraph" w:customStyle="1" w:styleId="Style7">
    <w:name w:val="Style7"/>
    <w:basedOn w:val="a"/>
    <w:uiPriority w:val="99"/>
    <w:rsid w:val="00A7123E"/>
    <w:pPr>
      <w:widowControl w:val="0"/>
      <w:autoSpaceDE w:val="0"/>
      <w:autoSpaceDN w:val="0"/>
      <w:adjustRightInd w:val="0"/>
      <w:spacing w:line="277" w:lineRule="exact"/>
    </w:pPr>
  </w:style>
  <w:style w:type="character" w:customStyle="1" w:styleId="FontStyle15">
    <w:name w:val="Font Style15"/>
    <w:basedOn w:val="a0"/>
    <w:uiPriority w:val="99"/>
    <w:rsid w:val="00A7123E"/>
    <w:rPr>
      <w:rFonts w:ascii="Times New Roman" w:hAnsi="Times New Roman" w:cs="Times New Roman"/>
      <w:sz w:val="24"/>
      <w:szCs w:val="24"/>
    </w:rPr>
  </w:style>
  <w:style w:type="table" w:customStyle="1" w:styleId="13">
    <w:name w:val="Сетка таблицы1"/>
    <w:basedOn w:val="a1"/>
    <w:next w:val="af1"/>
    <w:uiPriority w:val="59"/>
    <w:rsid w:val="00A712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A7123E"/>
    <w:pPr>
      <w:spacing w:after="120" w:line="480" w:lineRule="auto"/>
    </w:pPr>
  </w:style>
  <w:style w:type="character" w:customStyle="1" w:styleId="22">
    <w:name w:val="Основной текст 2 Знак"/>
    <w:basedOn w:val="a0"/>
    <w:link w:val="21"/>
    <w:rsid w:val="00A7123E"/>
    <w:rPr>
      <w:rFonts w:ascii="Times New Roman" w:eastAsia="Times New Roman" w:hAnsi="Times New Roman" w:cs="Times New Roman"/>
      <w:sz w:val="24"/>
      <w:szCs w:val="24"/>
      <w:lang w:eastAsia="ru-RU"/>
    </w:rPr>
  </w:style>
  <w:style w:type="paragraph" w:customStyle="1" w:styleId="Default">
    <w:name w:val="Default"/>
    <w:rsid w:val="00A71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коэф-т рождаемости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11.7</c:v>
                </c:pt>
                <c:pt idx="1">
                  <c:v>11.91</c:v>
                </c:pt>
                <c:pt idx="2">
                  <c:v>10.84</c:v>
                </c:pt>
                <c:pt idx="3">
                  <c:v>6.1</c:v>
                </c:pt>
                <c:pt idx="4">
                  <c:v>7.4</c:v>
                </c:pt>
              </c:numCache>
            </c:numRef>
          </c:val>
        </c:ser>
        <c:ser>
          <c:idx val="1"/>
          <c:order val="1"/>
          <c:tx>
            <c:strRef>
              <c:f>Лист1!$C$1</c:f>
              <c:strCache>
                <c:ptCount val="1"/>
                <c:pt idx="0">
                  <c:v>коэф-т смертности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10.5</c:v>
                </c:pt>
                <c:pt idx="1">
                  <c:v>11</c:v>
                </c:pt>
                <c:pt idx="2">
                  <c:v>11.3</c:v>
                </c:pt>
                <c:pt idx="3">
                  <c:v>12</c:v>
                </c:pt>
                <c:pt idx="4">
                  <c:v>13.6</c:v>
                </c:pt>
              </c:numCache>
            </c:numRef>
          </c:val>
        </c:ser>
        <c:dLbls>
          <c:showLegendKey val="0"/>
          <c:showVal val="0"/>
          <c:showCatName val="0"/>
          <c:showSerName val="0"/>
          <c:showPercent val="0"/>
          <c:showBubbleSize val="0"/>
        </c:dLbls>
        <c:gapWidth val="150"/>
        <c:shape val="box"/>
        <c:axId val="-1804702112"/>
        <c:axId val="-1804699392"/>
        <c:axId val="0"/>
      </c:bar3DChart>
      <c:catAx>
        <c:axId val="-1804702112"/>
        <c:scaling>
          <c:orientation val="minMax"/>
        </c:scaling>
        <c:delete val="0"/>
        <c:axPos val="b"/>
        <c:numFmt formatCode="General" sourceLinked="1"/>
        <c:majorTickMark val="out"/>
        <c:minorTickMark val="none"/>
        <c:tickLblPos val="nextTo"/>
        <c:crossAx val="-1804699392"/>
        <c:crosses val="autoZero"/>
        <c:auto val="1"/>
        <c:lblAlgn val="ctr"/>
        <c:lblOffset val="100"/>
        <c:noMultiLvlLbl val="0"/>
      </c:catAx>
      <c:valAx>
        <c:axId val="-1804699392"/>
        <c:scaling>
          <c:orientation val="minMax"/>
          <c:max val="14"/>
          <c:min val="6"/>
        </c:scaling>
        <c:delete val="0"/>
        <c:axPos val="l"/>
        <c:majorGridlines/>
        <c:numFmt formatCode="General" sourceLinked="1"/>
        <c:majorTickMark val="out"/>
        <c:minorTickMark val="none"/>
        <c:tickLblPos val="nextTo"/>
        <c:crossAx val="-1804702112"/>
        <c:crosses val="autoZero"/>
        <c:crossBetween val="between"/>
        <c:majorUnit val="1"/>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4.8560709652537004E-3"/>
          <c:w val="1"/>
          <c:h val="0.63285504743763465"/>
        </c:manualLayout>
      </c:layout>
      <c:barChart>
        <c:barDir val="col"/>
        <c:grouping val="clustered"/>
        <c:varyColors val="0"/>
        <c:ser>
          <c:idx val="0"/>
          <c:order val="0"/>
          <c:tx>
            <c:strRef>
              <c:f>Лист1!$B$1</c:f>
              <c:strCache>
                <c:ptCount val="1"/>
                <c:pt idx="0">
                  <c:v>мясо, тонн</c:v>
                </c:pt>
              </c:strCache>
            </c:strRef>
          </c:tx>
          <c:spPr>
            <a:solidFill>
              <a:schemeClr val="accent4">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2016 год</c:v>
                </c:pt>
                <c:pt idx="1">
                  <c:v>2017год</c:v>
                </c:pt>
                <c:pt idx="2">
                  <c:v>2018год</c:v>
                </c:pt>
                <c:pt idx="3">
                  <c:v>2019 год</c:v>
                </c:pt>
                <c:pt idx="4">
                  <c:v>2020 год</c:v>
                </c:pt>
              </c:strCache>
            </c:strRef>
          </c:cat>
          <c:val>
            <c:numRef>
              <c:f>Лист1!$B$2:$B$6</c:f>
              <c:numCache>
                <c:formatCode>General</c:formatCode>
                <c:ptCount val="5"/>
                <c:pt idx="0">
                  <c:v>93</c:v>
                </c:pt>
                <c:pt idx="1">
                  <c:v>20</c:v>
                </c:pt>
                <c:pt idx="2">
                  <c:v>25.9</c:v>
                </c:pt>
                <c:pt idx="3">
                  <c:v>30.4</c:v>
                </c:pt>
                <c:pt idx="4">
                  <c:v>65.5</c:v>
                </c:pt>
              </c:numCache>
            </c:numRef>
          </c:val>
        </c:ser>
        <c:ser>
          <c:idx val="1"/>
          <c:order val="1"/>
          <c:tx>
            <c:strRef>
              <c:f>Лист1!$C$1</c:f>
              <c:strCache>
                <c:ptCount val="1"/>
                <c:pt idx="0">
                  <c:v>молоко, тонн</c:v>
                </c:pt>
              </c:strCache>
            </c:strRef>
          </c:tx>
          <c:spPr>
            <a:solidFill>
              <a:schemeClr val="accent2">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2016 год</c:v>
                </c:pt>
                <c:pt idx="1">
                  <c:v>2017год</c:v>
                </c:pt>
                <c:pt idx="2">
                  <c:v>2018год</c:v>
                </c:pt>
                <c:pt idx="3">
                  <c:v>2019 год</c:v>
                </c:pt>
                <c:pt idx="4">
                  <c:v>2020 год</c:v>
                </c:pt>
              </c:strCache>
            </c:strRef>
          </c:cat>
          <c:val>
            <c:numRef>
              <c:f>Лист1!$C$2:$C$6</c:f>
              <c:numCache>
                <c:formatCode>General</c:formatCode>
                <c:ptCount val="5"/>
                <c:pt idx="0">
                  <c:v>590</c:v>
                </c:pt>
                <c:pt idx="1">
                  <c:v>604</c:v>
                </c:pt>
                <c:pt idx="2">
                  <c:v>641</c:v>
                </c:pt>
                <c:pt idx="3">
                  <c:v>689.4</c:v>
                </c:pt>
                <c:pt idx="4">
                  <c:v>803.4</c:v>
                </c:pt>
              </c:numCache>
            </c:numRef>
          </c:val>
        </c:ser>
        <c:ser>
          <c:idx val="2"/>
          <c:order val="2"/>
          <c:tx>
            <c:strRef>
              <c:f>Лист1!$D$1</c:f>
              <c:strCache>
                <c:ptCount val="1"/>
                <c:pt idx="0">
                  <c:v>яйцо, тыс.штук</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2016 год</c:v>
                </c:pt>
                <c:pt idx="1">
                  <c:v>2017год</c:v>
                </c:pt>
                <c:pt idx="2">
                  <c:v>2018год</c:v>
                </c:pt>
                <c:pt idx="3">
                  <c:v>2019 год</c:v>
                </c:pt>
                <c:pt idx="4">
                  <c:v>2020 год</c:v>
                </c:pt>
              </c:strCache>
            </c:strRef>
          </c:cat>
          <c:val>
            <c:numRef>
              <c:f>Лист1!$D$2:$D$6</c:f>
              <c:numCache>
                <c:formatCode>General</c:formatCode>
                <c:ptCount val="5"/>
                <c:pt idx="0">
                  <c:v>115</c:v>
                </c:pt>
                <c:pt idx="1">
                  <c:v>109</c:v>
                </c:pt>
                <c:pt idx="2">
                  <c:v>128.1</c:v>
                </c:pt>
                <c:pt idx="3">
                  <c:v>117.8</c:v>
                </c:pt>
                <c:pt idx="4">
                  <c:v>295.39999999999998</c:v>
                </c:pt>
              </c:numCache>
            </c:numRef>
          </c:val>
        </c:ser>
        <c:dLbls>
          <c:dLblPos val="outEnd"/>
          <c:showLegendKey val="0"/>
          <c:showVal val="1"/>
          <c:showCatName val="0"/>
          <c:showSerName val="0"/>
          <c:showPercent val="0"/>
          <c:showBubbleSize val="0"/>
        </c:dLbls>
        <c:gapWidth val="240"/>
        <c:axId val="-1935770288"/>
        <c:axId val="-1935768112"/>
      </c:barChart>
      <c:catAx>
        <c:axId val="-19357702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35768112"/>
        <c:crosses val="autoZero"/>
        <c:auto val="1"/>
        <c:lblAlgn val="ctr"/>
        <c:lblOffset val="100"/>
        <c:noMultiLvlLbl val="0"/>
      </c:catAx>
      <c:valAx>
        <c:axId val="-1935768112"/>
        <c:scaling>
          <c:orientation val="minMax"/>
        </c:scaling>
        <c:delete val="0"/>
        <c:axPos val="l"/>
        <c:numFmt formatCode="General" sourceLinked="1"/>
        <c:majorTickMark val="out"/>
        <c:minorTickMark val="none"/>
        <c:tickLblPos val="nextTo"/>
        <c:crossAx val="-1935770288"/>
        <c:crosses val="autoZero"/>
        <c:crossBetween val="between"/>
      </c:valAx>
    </c:plotArea>
    <c:legend>
      <c:legendPos val="b"/>
      <c:overlay val="0"/>
    </c:legend>
    <c:plotVisOnly val="1"/>
    <c:dispBlanksAs val="gap"/>
    <c:showDLblsOverMax val="0"/>
  </c:chart>
  <c:spPr>
    <a:ln>
      <a:noFill/>
    </a:ln>
  </c:spPr>
  <c:txPr>
    <a:bodyPr/>
    <a:lstStyle/>
    <a:p>
      <a:pPr>
        <a:defRPr b="1" i="1"/>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0"/>
      <c:rotY val="0"/>
      <c:depthPercent val="100"/>
      <c:rAngAx val="0"/>
      <c:perspective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2.7124841584775567E-4"/>
          <c:y val="3.634141732283467E-2"/>
          <c:w val="0.9923258661257619"/>
          <c:h val="0.53285936612188478"/>
        </c:manualLayout>
      </c:layout>
      <c:bar3DChart>
        <c:barDir val="col"/>
        <c:grouping val="standard"/>
        <c:varyColors val="0"/>
        <c:ser>
          <c:idx val="0"/>
          <c:order val="0"/>
          <c:tx>
            <c:strRef>
              <c:f>Лист1!$B$1</c:f>
              <c:strCache>
                <c:ptCount val="1"/>
                <c:pt idx="0">
                  <c:v>Численность, чел.</c:v>
                </c:pt>
              </c:strCache>
            </c:strRef>
          </c:tx>
          <c:spPr>
            <a:solidFill>
              <a:schemeClr val="accent1">
                <a:lumMod val="40000"/>
                <a:lumOff val="60000"/>
              </a:schemeClr>
            </a:solidFill>
          </c:spPr>
          <c:invertIfNegative val="0"/>
          <c:dLbls>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Численность пенсионеров 2020 г., чел.</c:v>
                </c:pt>
                <c:pt idx="1">
                  <c:v>Средний размер назначенных пенсий в 2020 г., руб.</c:v>
                </c:pt>
                <c:pt idx="2">
                  <c:v>Численность пенсионеров 2019 г., чел.</c:v>
                </c:pt>
                <c:pt idx="3">
                  <c:v>Средний размер назначенных пенсий в 2019 г., руб.</c:v>
                </c:pt>
              </c:strCache>
            </c:strRef>
          </c:cat>
          <c:val>
            <c:numRef>
              <c:f>Лист1!$B$2:$B$5</c:f>
              <c:numCache>
                <c:formatCode>General</c:formatCode>
                <c:ptCount val="4"/>
                <c:pt idx="0" formatCode="#,##0.00">
                  <c:v>2286</c:v>
                </c:pt>
                <c:pt idx="2" formatCode="#,##0.00">
                  <c:v>2319</c:v>
                </c:pt>
              </c:numCache>
            </c:numRef>
          </c:val>
        </c:ser>
        <c:ser>
          <c:idx val="1"/>
          <c:order val="1"/>
          <c:tx>
            <c:strRef>
              <c:f>Лист1!$C$1</c:f>
              <c:strCache>
                <c:ptCount val="1"/>
                <c:pt idx="0">
                  <c:v>Средний размер назначенных пенсий, руб.</c:v>
                </c:pt>
              </c:strCache>
            </c:strRef>
          </c:tx>
          <c:invertIfNegative val="0"/>
          <c:dLbls>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Численность пенсионеров 2020 г., чел.</c:v>
                </c:pt>
                <c:pt idx="1">
                  <c:v>Средний размер назначенных пенсий в 2020 г., руб.</c:v>
                </c:pt>
                <c:pt idx="2">
                  <c:v>Численность пенсионеров 2019 г., чел.</c:v>
                </c:pt>
                <c:pt idx="3">
                  <c:v>Средний размер назначенных пенсий в 2019 г., руб.</c:v>
                </c:pt>
              </c:strCache>
            </c:strRef>
          </c:cat>
          <c:val>
            <c:numRef>
              <c:f>Лист1!$C$2:$C$5</c:f>
              <c:numCache>
                <c:formatCode>#,##0.00</c:formatCode>
                <c:ptCount val="4"/>
                <c:pt idx="1">
                  <c:v>22288.33</c:v>
                </c:pt>
                <c:pt idx="3">
                  <c:v>21288.02</c:v>
                </c:pt>
              </c:numCache>
            </c:numRef>
          </c:val>
        </c:ser>
        <c:dLbls>
          <c:showLegendKey val="0"/>
          <c:showVal val="0"/>
          <c:showCatName val="0"/>
          <c:showSerName val="0"/>
          <c:showPercent val="0"/>
          <c:showBubbleSize val="0"/>
        </c:dLbls>
        <c:gapWidth val="150"/>
        <c:shape val="cylinder"/>
        <c:axId val="-1935768656"/>
        <c:axId val="-1935771376"/>
        <c:axId val="-1954060608"/>
      </c:bar3DChart>
      <c:catAx>
        <c:axId val="-1935768656"/>
        <c:scaling>
          <c:orientation val="minMax"/>
        </c:scaling>
        <c:delete val="0"/>
        <c:axPos val="b"/>
        <c:numFmt formatCode="General" sourceLinked="1"/>
        <c:majorTickMark val="out"/>
        <c:minorTickMark val="none"/>
        <c:tickLblPos val="nextTo"/>
        <c:txPr>
          <a:bodyPr/>
          <a:lstStyle/>
          <a:p>
            <a:pPr>
              <a:defRPr sz="798" b="1" i="1">
                <a:latin typeface="Times New Roman" pitchFamily="18" charset="0"/>
                <a:cs typeface="Times New Roman" pitchFamily="18" charset="0"/>
              </a:defRPr>
            </a:pPr>
            <a:endParaRPr lang="ru-RU"/>
          </a:p>
        </c:txPr>
        <c:crossAx val="-1935771376"/>
        <c:crosses val="autoZero"/>
        <c:auto val="1"/>
        <c:lblAlgn val="ctr"/>
        <c:lblOffset val="100"/>
        <c:noMultiLvlLbl val="0"/>
      </c:catAx>
      <c:valAx>
        <c:axId val="-1935771376"/>
        <c:scaling>
          <c:orientation val="minMax"/>
        </c:scaling>
        <c:delete val="1"/>
        <c:axPos val="l"/>
        <c:numFmt formatCode="#,##0.00" sourceLinked="1"/>
        <c:majorTickMark val="out"/>
        <c:minorTickMark val="none"/>
        <c:tickLblPos val="none"/>
        <c:crossAx val="-1935768656"/>
        <c:crosses val="autoZero"/>
        <c:crossBetween val="between"/>
      </c:valAx>
      <c:serAx>
        <c:axId val="-1954060608"/>
        <c:scaling>
          <c:orientation val="minMax"/>
        </c:scaling>
        <c:delete val="1"/>
        <c:axPos val="b"/>
        <c:majorTickMark val="out"/>
        <c:minorTickMark val="none"/>
        <c:tickLblPos val="none"/>
        <c:crossAx val="-1935771376"/>
        <c:crosses val="autoZero"/>
      </c:serAx>
      <c:spPr>
        <a:noFill/>
        <a:ln w="25331">
          <a:noFill/>
        </a:ln>
      </c:spPr>
    </c:plotArea>
    <c:legend>
      <c:legendPos val="b"/>
      <c:overlay val="0"/>
      <c:txPr>
        <a:bodyPr/>
        <a:lstStyle/>
        <a:p>
          <a:pPr>
            <a:defRPr sz="798" b="1" i="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Pages>
  <Words>9134</Words>
  <Characters>52067</Characters>
  <Application>Microsoft Office Word</Application>
  <DocSecurity>0</DocSecurity>
  <Lines>433</Lines>
  <Paragraphs>122</Paragraphs>
  <ScaleCrop>false</ScaleCrop>
  <Company/>
  <LinksUpToDate>false</LinksUpToDate>
  <CharactersWithSpaces>61079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Братчук</dc:creator>
  <cp:keywords/>
  <dc:description/>
  <cp:lastModifiedBy>Братчук</cp:lastModifiedBy>
  <cp:revision>2</cp:revision>
  <dcterms:created xsi:type="dcterms:W3CDTF">2021-08-16T22:15:00Z</dcterms:created>
  <dcterms:modified xsi:type="dcterms:W3CDTF">2021-08-16T22:15:00Z</dcterms:modified>
</cp:coreProperties>
</file>